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spacing w:before="120" w:beforeAutospacing="0" w:after="120" w:afterAutospacing="0" w:line="360" w:lineRule="auto"/>
        <w:rPr>
          <w:highlight w:val="none"/>
        </w:rPr>
      </w:pPr>
      <w:r>
        <w:rPr>
          <w:highlight w:val="none"/>
        </w:rPr>
        <w:t xml:space="preserve"> </w:t>
      </w:r>
      <w:r/>
    </w:p>
    <w:p>
      <w:pPr>
        <w:pStyle w:val="856"/>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56"/>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val="en-US" w:eastAsia="zh-CN"/>
        </w:rPr>
        <w:t xml:space="preserve">东台市公安技防设施维保项目</w:t>
      </w:r>
      <w:r/>
    </w:p>
    <w:p>
      <w:pPr>
        <w:pStyle w:val="856"/>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项目编号：JSZC-320981-HRMB-G2026-0004</w:t>
      </w:r>
      <w:r/>
    </w:p>
    <w:p>
      <w:pPr>
        <w:pStyle w:val="856"/>
        <w:spacing w:beforeAutospacing="0" w:afterAutospacing="0" w:line="360" w:lineRule="auto"/>
        <w:rPr>
          <w:highlight w:val="none"/>
        </w:rPr>
      </w:pPr>
      <w:r>
        <w:rPr>
          <w:highlight w:val="none"/>
        </w:rPr>
        <w:t xml:space="preserve"> </w:t>
      </w:r>
      <w:r/>
    </w:p>
    <w:p>
      <w:pPr>
        <w:pStyle w:val="856"/>
        <w:spacing w:beforeAutospacing="0" w:afterAutospacing="0" w:line="360" w:lineRule="auto"/>
        <w:rPr>
          <w:highlight w:val="none"/>
        </w:rPr>
      </w:pPr>
      <w:r>
        <w:rPr>
          <w:highlight w:val="none"/>
        </w:rPr>
        <w:t xml:space="preserve"> </w:t>
      </w:r>
      <w:r/>
    </w:p>
    <w:p>
      <w:pPr>
        <w:pStyle w:val="856"/>
        <w:spacing w:beforeAutospacing="0" w:afterAutospacing="0" w:line="360" w:lineRule="auto"/>
        <w:rPr>
          <w:highlight w:val="none"/>
        </w:rPr>
      </w:pPr>
      <w:r>
        <w:rPr>
          <w:highlight w:val="none"/>
        </w:rPr>
        <w:t xml:space="preserve"> </w:t>
      </w:r>
      <w:r/>
    </w:p>
    <w:p>
      <w:pPr>
        <w:pStyle w:val="856"/>
        <w:spacing w:beforeAutospacing="0" w:afterAutospacing="0" w:line="360" w:lineRule="auto"/>
        <w:rPr>
          <w:highlight w:val="none"/>
        </w:rPr>
      </w:pPr>
      <w:r>
        <w:rPr>
          <w:highlight w:val="none"/>
        </w:rPr>
        <w:t xml:space="preserve"> </w:t>
      </w:r>
      <w:r/>
    </w:p>
    <w:p>
      <w:pPr>
        <w:pStyle w:val="856"/>
        <w:spacing w:beforeAutospacing="0" w:afterAutospacing="0" w:line="360" w:lineRule="auto"/>
        <w:rPr>
          <w:highlight w:val="none"/>
        </w:rPr>
      </w:pPr>
      <w:r>
        <w:rPr>
          <w:highlight w:val="none"/>
        </w:rPr>
        <w:t xml:space="preserve"> </w:t>
      </w:r>
      <w:r/>
    </w:p>
    <w:p>
      <w:pPr>
        <w:pStyle w:val="856"/>
        <w:spacing w:beforeAutospacing="0" w:afterAutospacing="0" w:line="360" w:lineRule="auto"/>
        <w:rPr>
          <w:highlight w:val="none"/>
        </w:rPr>
      </w:pPr>
      <w:r>
        <w:rPr>
          <w:highlight w:val="none"/>
        </w:rPr>
        <w:t xml:space="preserve"> </w:t>
      </w:r>
      <w:r/>
    </w:p>
    <w:p>
      <w:pPr>
        <w:pStyle w:val="856"/>
        <w:spacing w:beforeAutospacing="0" w:afterAutospacing="0" w:line="360" w:lineRule="auto"/>
        <w:rPr>
          <w:highlight w:val="none"/>
        </w:rPr>
      </w:pPr>
      <w:r>
        <w:rPr>
          <w:highlight w:val="none"/>
        </w:rPr>
        <w:t xml:space="preserve"> </w:t>
      </w:r>
      <w:r/>
    </w:p>
    <w:p>
      <w:pPr>
        <w:ind w:firstLine="0"/>
        <w:jc w:val="center"/>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ind w:firstLine="0"/>
        <w:jc w:val="center"/>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ind w:firstLine="0"/>
        <w:jc w:val="center"/>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ind w:firstLine="0"/>
        <w:jc w:val="center"/>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ind w:firstLine="0"/>
        <w:jc w:val="center"/>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ind w:firstLine="0"/>
        <w:jc w:val="center"/>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ind w:firstLine="0"/>
        <w:jc w:val="center"/>
        <w:rPr>
          <w:rFonts w:hint="eastAsia" w:cs="Arial" w:asciiTheme="minorEastAsia" w:hAnsiTheme="minorEastAsia" w:eastAsiaTheme="minorEastAsia"/>
          <w:b/>
          <w:color w:val="000000"/>
          <w:sz w:val="32"/>
          <w:szCs w:val="32"/>
          <w:lang w:val="en-US" w:eastAsia="zh-CN"/>
        </w:rPr>
      </w:pPr>
      <w:r>
        <w:rPr>
          <w:rFonts w:hint="eastAsia" w:cs="Arial" w:asciiTheme="minorEastAsia" w:hAnsiTheme="minorEastAsia"/>
          <w:b/>
          <w:color w:val="000000"/>
          <w:sz w:val="32"/>
          <w:szCs w:val="32"/>
        </w:rPr>
        <w:t xml:space="preserve">采购单位：东台市</w:t>
      </w:r>
      <w:r>
        <w:rPr>
          <w:rFonts w:hint="eastAsia" w:cs="Arial" w:asciiTheme="minorEastAsia" w:hAnsiTheme="minorEastAsia"/>
          <w:b/>
          <w:color w:val="000000"/>
          <w:sz w:val="32"/>
          <w:szCs w:val="32"/>
          <w:lang w:val="en-US" w:eastAsia="zh-CN"/>
        </w:rPr>
        <w:t xml:space="preserve">公安局</w:t>
      </w:r>
      <w:r/>
    </w:p>
    <w:p>
      <w:pPr>
        <w:pStyle w:val="856"/>
        <w:jc w:val="center"/>
        <w:spacing w:before="120" w:beforeAutospacing="0" w:after="120" w:afterAutospacing="0" w:line="360" w:lineRule="auto"/>
        <w:rPr>
          <w:rFonts w:ascii="Arial" w:hAnsi="Arial" w:cs="Arial"/>
          <w:b/>
          <w:color w:val="000000"/>
          <w:sz w:val="32"/>
          <w:szCs w:val="32"/>
          <w:highlight w:val="none"/>
        </w:rPr>
      </w:pPr>
      <w:r>
        <w:rPr>
          <w:rFonts w:hint="eastAsia" w:cs="Arial" w:asciiTheme="minorEastAsia" w:hAnsiTheme="minorEastAsia"/>
          <w:b/>
          <w:color w:val="000000"/>
          <w:sz w:val="32"/>
          <w:szCs w:val="32"/>
        </w:rPr>
        <w:t xml:space="preserve">采购代理机构：江苏</w:t>
      </w:r>
      <w:r>
        <w:rPr>
          <w:rFonts w:hint="eastAsia" w:eastAsia="宋体" w:cs="Arial" w:asciiTheme="minorEastAsia" w:hAnsiTheme="minorEastAsia"/>
          <w:b/>
          <w:color w:val="000000"/>
          <w:sz w:val="32"/>
          <w:szCs w:val="32"/>
          <w:lang w:val="en-US" w:eastAsia="zh-CN"/>
        </w:rPr>
        <w:t xml:space="preserve">跃盛项目管理有限公司</w:t>
      </w:r>
      <w:r/>
    </w:p>
    <w:p>
      <w:pPr>
        <w:pStyle w:val="856"/>
        <w:jc w:val="center"/>
        <w:spacing w:before="120" w:beforeAutospacing="0" w:after="120" w:afterAutospacing="0" w:line="360" w:lineRule="auto"/>
        <w:rPr>
          <w:rFonts w:hint="default" w:eastAsiaTheme="minorEastAsia"/>
          <w:highlight w:val="none"/>
          <w:lang w:val="en-US" w:eastAsia="zh-CN"/>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05</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15日</w:t>
      </w:r>
      <w:r/>
    </w:p>
    <w:p>
      <w:pPr>
        <w:pStyle w:val="856"/>
        <w:spacing w:before="120" w:beforeAutospacing="0" w:after="120" w:afterAutospacing="0" w:line="360" w:lineRule="auto"/>
        <w:rPr>
          <w:highlight w:val="none"/>
        </w:rPr>
      </w:pPr>
      <w:r>
        <w:rPr>
          <w:rFonts w:ascii="Arial" w:hAnsi="Arial" w:cs="Arial"/>
          <w:color w:val="000000"/>
          <w:highlight w:val="none"/>
        </w:rPr>
        <w:t xml:space="preserve">                        </w:t>
      </w:r>
      <w:r/>
    </w:p>
    <w:p>
      <w:pPr>
        <w:pStyle w:val="856"/>
        <w:jc w:val="center"/>
        <w:spacing w:before="120" w:beforeAutospacing="0" w:after="120" w:afterAutospacing="0" w:line="360" w:lineRule="auto"/>
        <w:rPr>
          <w:highlight w:val="none"/>
        </w:rPr>
      </w:pPr>
      <w:r>
        <w:rPr>
          <w:highlight w:val="none"/>
        </w:rPr>
        <w:t xml:space="preserve"> </w:t>
      </w:r>
      <w:r/>
    </w:p>
    <w:p>
      <w:pPr>
        <w:pStyle w:val="856"/>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479757206"/>
      <w:r/>
      <w:bookmarkStart w:id="1" w:name="_Toc20823272"/>
      <w:r/>
      <w:bookmarkStart w:id="2" w:name="_Toc523127445"/>
      <w:r/>
      <w:bookmarkStart w:id="3" w:name="_Toc16938516"/>
      <w:r/>
      <w:bookmarkStart w:id="4" w:name="_Toc120614210"/>
      <w:r/>
      <w:bookmarkStart w:id="5" w:name="_Toc513029200"/>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56"/>
        <w:jc w:val="both"/>
        <w:spacing w:beforeAutospacing="0" w:afterAutospacing="0" w:line="480" w:lineRule="auto"/>
        <w:rPr>
          <w:highlight w:val="none"/>
        </w:rPr>
      </w:pPr>
      <w:r>
        <w:rPr>
          <w:highlight w:val="none"/>
        </w:rPr>
        <w:t xml:space="preserve"> </w:t>
      </w:r>
      <w:r/>
    </w:p>
    <w:p>
      <w:pPr>
        <w:pStyle w:val="85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85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85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85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85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85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center"/>
        <w:spacing w:beforeAutospacing="0" w:afterAutospacing="0"/>
        <w:rPr>
          <w:rFonts w:hint="eastAsia" w:ascii="黑体" w:hAnsi="宋体" w:eastAsia="黑体" w:cs="黑体"/>
          <w:color w:val="000000"/>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000000"/>
          <w:sz w:val="44"/>
          <w:szCs w:val="44"/>
          <w:highlight w:val="none"/>
        </w:rPr>
      </w:r>
      <w:r/>
    </w:p>
    <w:p>
      <w:pPr>
        <w:pStyle w:val="856"/>
        <w:jc w:val="center"/>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56"/>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56"/>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东台市公安技防设施维保项目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856"/>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 w:name="_Toc35393790"/>
      <w:r/>
      <w:bookmarkStart w:id="7" w:name="_Toc28359002"/>
      <w:r/>
      <w:bookmarkStart w:id="8" w:name="_Hlk24379207"/>
      <w:r/>
      <w:bookmarkStart w:id="9" w:name="_Toc28359079"/>
      <w:r/>
      <w:bookmarkStart w:id="10" w:name="_Toc35393621"/>
      <w:r/>
      <w:bookmarkStart w:id="11" w:name="_Toc38985263"/>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856"/>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JSZC-320981-HRMB-G2026-0004</w:t>
      </w:r>
      <w:r/>
    </w:p>
    <w:p>
      <w:pPr>
        <w:pStyle w:val="856"/>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2.项目名称：东台市公安技防设施维保项目</w:t>
      </w:r>
      <w:r/>
    </w:p>
    <w:p>
      <w:pPr>
        <w:pStyle w:val="856"/>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56"/>
        <w:ind w:firstLine="480"/>
        <w:jc w:val="both"/>
        <w:spacing w:beforeAutospacing="0" w:afterAutospacing="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300万元</w:t>
      </w:r>
      <w:r/>
    </w:p>
    <w:p>
      <w:pPr>
        <w:pStyle w:val="856"/>
        <w:ind w:firstLine="480"/>
        <w:jc w:val="both"/>
        <w:spacing w:beforeAutospacing="0" w:afterAutospacing="0"/>
        <w:rPr>
          <w:rFonts w:hint="default" w:ascii="宋体" w:hAnsi="宋体" w:eastAsia="宋体" w:cs="宋体"/>
          <w:color w:val="000000"/>
          <w:sz w:val="24"/>
          <w:szCs w:val="24"/>
          <w:highlight w:val="green"/>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最高限价（如有）：</w:t>
      </w:r>
      <w:r>
        <w:rPr>
          <w:rFonts w:hint="eastAsia" w:ascii="宋体" w:hAnsi="宋体" w:eastAsia="宋体" w:cs="宋体"/>
          <w:color w:val="000000"/>
          <w:sz w:val="24"/>
          <w:szCs w:val="24"/>
          <w:highlight w:val="none"/>
          <w:lang w:val="en-US" w:eastAsia="zh-CN"/>
        </w:rPr>
        <w:t xml:space="preserve">300万元</w:t>
      </w:r>
      <w:r/>
    </w:p>
    <w:p>
      <w:pPr>
        <w:pStyle w:val="856"/>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.采购需求：东台市公安技防设施维保项目（详细内容见本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p>
    <w:p>
      <w:pPr>
        <w:pStyle w:val="856"/>
        <w:ind w:firstLine="480"/>
        <w:jc w:val="both"/>
        <w:spacing w:beforeAutospacing="0" w:afterAutospacing="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合同签订之日起计算壹年。</w:t>
      </w:r>
      <w:r/>
    </w:p>
    <w:p>
      <w:pPr>
        <w:pStyle w:val="856"/>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不接受</w:t>
      </w:r>
      <w:r>
        <w:rPr>
          <w:rFonts w:hint="eastAsia" w:ascii="宋体" w:hAnsi="宋体" w:eastAsia="宋体" w:cs="宋体"/>
          <w:color w:val="000000"/>
          <w:sz w:val="24"/>
          <w:szCs w:val="24"/>
          <w:highlight w:val="none"/>
        </w:rPr>
        <w:t xml:space="preserve">联合体参与</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eastAsia="zh-CN"/>
        </w:rPr>
        <w:t xml:space="preserve">。</w:t>
      </w:r>
      <w:r/>
    </w:p>
    <w:p>
      <w:pPr>
        <w:pStyle w:val="856"/>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 w:name="_Toc35393791"/>
      <w:r/>
      <w:bookmarkStart w:id="13" w:name="_Toc28359003"/>
      <w:r/>
      <w:bookmarkStart w:id="14" w:name="_Toc35393622"/>
      <w:r/>
      <w:bookmarkStart w:id="15" w:name="_Toc38985264"/>
      <w:r/>
      <w:bookmarkStart w:id="16" w:name="_Toc28359080"/>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856"/>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56"/>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56"/>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56"/>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56"/>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6"/>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56"/>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56"/>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文件中无需提供证明材料）</w:t>
      </w:r>
      <w:r/>
    </w:p>
    <w:p>
      <w:pPr>
        <w:pStyle w:val="856"/>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856"/>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落实政府采购政策需满足的资格要求：无</w:t>
      </w:r>
      <w:r>
        <w:rPr>
          <w:rFonts w:hint="eastAsia" w:ascii="宋体" w:hAnsi="宋体" w:eastAsia="宋体" w:cs="宋体"/>
          <w:color w:val="000000"/>
          <w:sz w:val="24"/>
          <w:szCs w:val="24"/>
          <w:highlight w:val="none"/>
          <w:lang w:eastAsia="zh-CN"/>
        </w:rPr>
        <w:t xml:space="preserve">。</w:t>
      </w:r>
      <w:r/>
    </w:p>
    <w:p>
      <w:pPr>
        <w:pStyle w:val="856"/>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p>
    <w:p>
      <w:pPr>
        <w:pStyle w:val="856"/>
        <w:ind w:firstLine="480"/>
        <w:jc w:val="both"/>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auto"/>
          <w:sz w:val="24"/>
          <w:szCs w:val="24"/>
          <w:highlight w:val="none"/>
          <w:lang w:val="en-US" w:eastAsia="zh-CN" w:bidi="ar-SA"/>
        </w:rPr>
        <w:t xml:space="preserve">投标人如委托被授权人参与，则被授权人须为本单位正式职工并提供供应商为被授权人缴纳的社会养老保险证明。</w:t>
      </w:r>
      <w:r/>
    </w:p>
    <w:p>
      <w:pPr>
        <w:pStyle w:val="856"/>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bookmarkStart w:id="17" w:name="_Toc28359005"/>
      <w:r/>
      <w:bookmarkStart w:id="18" w:name="_Toc35393793"/>
      <w:r/>
      <w:bookmarkStart w:id="19" w:name="_Toc38985266"/>
      <w:r/>
      <w:bookmarkStart w:id="20" w:name="_Toc35393624"/>
      <w:r/>
      <w:bookmarkStart w:id="21" w:name="_Toc28359082"/>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856"/>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时间：2026年6月8日8点30分（北京时间）。</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856"/>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2" w:name="_Toc38985267"/>
      <w:r/>
      <w:bookmarkStart w:id="23" w:name="_Toc28359084"/>
      <w:r/>
      <w:bookmarkStart w:id="24" w:name="_Toc35393625"/>
      <w:r/>
      <w:bookmarkStart w:id="25" w:name="_Toc28359007"/>
      <w:r/>
      <w:bookmarkStart w:id="26" w:name="_Toc35393794"/>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8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5393626"/>
      <w:r/>
      <w:bookmarkStart w:id="29"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56"/>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3.有关本次招标的事项若存在变动或修改，敬请及时关注采购人在“中国政府采购网”“江苏政府采购网”“盐城市政府采购网”发布的更正公告。</w:t>
      </w:r>
      <w:r/>
    </w:p>
    <w:p>
      <w:pPr>
        <w:pStyle w:val="8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844"/>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0"/>
      <w:r/>
      <w:r/>
    </w:p>
    <w:p>
      <w:pPr>
        <w:pStyle w:val="8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8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eastAsia="宋体" w:cs="宋体"/>
          <w:color w:val="000000"/>
          <w:sz w:val="24"/>
          <w:szCs w:val="24"/>
          <w:lang w:val="en-US" w:eastAsia="zh-CN"/>
        </w:rPr>
        <w:t xml:space="preserve">东台市公安局</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w:t>
      </w:r>
      <w:r>
        <w:rPr>
          <w:rFonts w:hint="eastAsia" w:ascii="宋体" w:hAnsi="宋体" w:eastAsia="宋体" w:cs="宋体"/>
          <w:color w:val="000000"/>
          <w:sz w:val="24"/>
          <w:szCs w:val="24"/>
          <w:lang w:val="en-US" w:eastAsia="zh-CN"/>
        </w:rPr>
        <w:t xml:space="preserve">盐城市东台市广场路1号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w:t>
      </w:r>
      <w:r>
        <w:rPr>
          <w:rFonts w:hint="eastAsia" w:ascii="宋体" w:hAnsi="宋体" w:eastAsia="宋体" w:cs="宋体"/>
          <w:color w:val="000000"/>
          <w:sz w:val="24"/>
          <w:szCs w:val="24"/>
          <w:lang w:val="en-US" w:eastAsia="zh-CN"/>
        </w:rPr>
        <w:t xml:space="preserve">宗先生</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r>
        <w:rPr>
          <w:rFonts w:hint="eastAsia" w:ascii="宋体" w:hAnsi="宋体" w:eastAsia="宋体" w:cs="宋体"/>
          <w:color w:val="000000"/>
          <w:sz w:val="24"/>
          <w:szCs w:val="24"/>
          <w:lang w:val="en-US" w:eastAsia="zh-CN"/>
        </w:rPr>
        <w:t xml:space="preserve">15161941511</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856"/>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称：江苏跃盛项目管理有限公司</w:t>
      </w:r>
      <w:r/>
    </w:p>
    <w:p>
      <w:pPr>
        <w:pStyle w:val="8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址：东台市黄海花苑小区18号楼四层</w:t>
      </w:r>
      <w:r/>
    </w:p>
    <w:p>
      <w:pPr>
        <w:pStyle w:val="8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联系人：赵先生                     </w:t>
      </w:r>
      <w:r/>
    </w:p>
    <w:p>
      <w:pPr>
        <w:pStyle w:val="8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18105111998       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856"/>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项目联系人：宗先生、赵先生</w:t>
      </w:r>
      <w:r/>
    </w:p>
    <w:p>
      <w:pPr>
        <w:pStyle w:val="8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hint="eastAsia" w:ascii="宋体" w:hAnsi="宋体" w:eastAsia="宋体" w:cs="宋体"/>
          <w:color w:val="000000"/>
          <w:sz w:val="24"/>
          <w:szCs w:val="24"/>
          <w:lang w:val="en-US" w:eastAsia="zh-CN"/>
        </w:rPr>
        <w:t xml:space="preserve">15161941511、18105111998</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6"/>
        <w:ind w:right="840"/>
        <w:jc w:val="center"/>
        <w:spacing w:beforeAutospacing="0" w:afterAutospacing="0"/>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16938518"/>
      <w:r/>
      <w:bookmarkStart w:id="37" w:name="_Toc120614213"/>
      <w:r/>
      <w:bookmarkStart w:id="38" w:name="_Toc513029202"/>
      <w:r/>
      <w:bookmarkStart w:id="39" w:name="_Toc20823274"/>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856"/>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20823275"/>
      <w:r/>
      <w:bookmarkStart w:id="41" w:name="_Toc513029203"/>
      <w:r/>
      <w:bookmarkStart w:id="42" w:name="_Toc120614214"/>
      <w:r/>
      <w:bookmarkStart w:id="43" w:name="_Toc16938519"/>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856"/>
        <w:ind w:firstLine="420"/>
        <w:jc w:val="both"/>
        <w:keepLines/>
        <w:keepNext/>
        <w:spacing w:beforeAutospacing="0" w:afterAutospacing="0"/>
        <w:rPr>
          <w:rFonts w:hint="eastAsia" w:ascii="宋体" w:hAnsi="宋体" w:eastAsia="宋体" w:cs="宋体"/>
          <w:sz w:val="24"/>
          <w:szCs w:val="24"/>
          <w:highlight w:val="none"/>
        </w:rPr>
      </w:pPr>
      <w:r/>
      <w:bookmarkStart w:id="44" w:name="_Toc16938520"/>
      <w:r/>
      <w:bookmarkStart w:id="45" w:name="_Toc20823276"/>
      <w:r/>
      <w:bookmarkStart w:id="46" w:name="_Toc458694821"/>
      <w:r/>
      <w:bookmarkStart w:id="47" w:name="_Toc513029204"/>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56"/>
        <w:ind w:firstLine="420"/>
        <w:jc w:val="both"/>
        <w:keepLines/>
        <w:keepNext/>
        <w:spacing w:beforeAutospacing="0" w:afterAutospacing="0"/>
        <w:rPr>
          <w:rFonts w:hint="eastAsia" w:ascii="宋体" w:hAnsi="宋体" w:eastAsia="宋体" w:cs="宋体"/>
          <w:sz w:val="24"/>
          <w:szCs w:val="24"/>
          <w:highlight w:val="none"/>
        </w:rPr>
      </w:pPr>
      <w:r/>
      <w:bookmarkStart w:id="49" w:name="_Toc16938521"/>
      <w:r/>
      <w:bookmarkStart w:id="50" w:name="_Toc513029205"/>
      <w:r/>
      <w:bookmarkStart w:id="51" w:name="_Toc20823277"/>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20"/>
        <w:spacing w:line="400" w:lineRule="exact"/>
        <w:rPr>
          <w:rFonts w:hint="eastAsia" w:ascii="方正魏碑_GBK" w:hAnsi="方正魏碑_GBK" w:eastAsia="方正魏碑_GBK" w:cs="方正魏碑_GBK"/>
          <w:color w:val="auto"/>
          <w:sz w:val="24"/>
          <w:szCs w:val="21"/>
        </w:rPr>
      </w:pPr>
      <w:r/>
      <w:bookmarkStart w:id="52" w:name="_Toc16938522"/>
      <w:r/>
      <w:bookmarkStart w:id="53" w:name="_Toc513029206"/>
      <w:r/>
      <w:bookmarkStart w:id="54" w:name="_Toc20823278"/>
      <w:r/>
      <w:bookmarkStart w:id="55" w:name="_Toc20823279"/>
      <w:r/>
      <w:bookmarkStart w:id="56" w:name="_Toc513029207"/>
      <w:r/>
      <w:bookmarkStart w:id="57" w:name="_Toc16938523"/>
      <w:r/>
      <w:bookmarkStart w:id="58" w:name="_Toc462564067"/>
      <w:r>
        <w:rPr>
          <w:rFonts w:hint="eastAsia" w:ascii="方正魏碑_GBK" w:hAnsi="方正魏碑_GBK" w:eastAsia="方正魏碑_GBK" w:cs="方正魏碑_GBK"/>
          <w:color w:val="auto"/>
          <w:sz w:val="24"/>
          <w:szCs w:val="21"/>
        </w:rPr>
        <w:t xml:space="preserve">3、适用法律</w:t>
      </w:r>
      <w:bookmarkEnd w:id="52"/>
      <w:r/>
      <w:bookmarkEnd w:id="53"/>
      <w:r/>
      <w:bookmarkEnd w:id="54"/>
      <w:r>
        <w:rPr>
          <w:rFonts w:hint="eastAsia" w:ascii="方正魏碑_GBK" w:hAnsi="方正魏碑_GBK" w:eastAsia="方正魏碑_GBK" w:cs="方正魏碑_GBK"/>
          <w:color w:val="auto"/>
          <w:sz w:val="24"/>
          <w:szCs w:val="21"/>
        </w:rPr>
        <w:t xml:space="preserve">和标准</w:t>
      </w:r>
      <w:r/>
    </w:p>
    <w:p>
      <w:pPr>
        <w:pStyle w:val="856"/>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spacing w:line="400" w:lineRule="exact"/>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56"/>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4.1投标人应自行承担所有与参加投标有关的费用，无论投标过程中的做法和结果如何，采购人及代理机构在任何情况下均无义务和责任承担这些费用。</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4.2本次采购人不收取标书工本费与中标服务费。</w:t>
      </w:r>
      <w:r/>
    </w:p>
    <w:p>
      <w:pPr>
        <w:pStyle w:val="856"/>
        <w:ind w:firstLine="60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56"/>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120614215"/>
      <w:r/>
      <w:bookmarkStart w:id="60" w:name="_Toc20823281"/>
      <w:r/>
      <w:bookmarkStart w:id="61" w:name="_Toc513029209"/>
      <w:r/>
      <w:bookmarkStart w:id="62" w:name="_Toc1693852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856"/>
        <w:ind w:firstLine="420"/>
        <w:jc w:val="both"/>
        <w:keepLines/>
        <w:keepNext/>
        <w:spacing w:beforeAutospacing="0" w:afterAutospacing="0"/>
        <w:rPr>
          <w:rFonts w:hint="eastAsia" w:ascii="宋体" w:hAnsi="宋体" w:eastAsia="宋体" w:cs="宋体"/>
          <w:sz w:val="24"/>
          <w:szCs w:val="24"/>
          <w:highlight w:val="none"/>
        </w:rPr>
      </w:pPr>
      <w:r/>
      <w:bookmarkStart w:id="63" w:name="_Toc20823282"/>
      <w:r/>
      <w:bookmarkStart w:id="64" w:name="_Toc16938526"/>
      <w:r/>
      <w:bookmarkStart w:id="65" w:name="_Toc513029210"/>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56"/>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56"/>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56"/>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56"/>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56"/>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56"/>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联系解决。</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6"/>
        <w:ind w:firstLine="560"/>
        <w:jc w:val="both"/>
        <w:keepLines/>
        <w:keepNext/>
        <w:spacing w:beforeAutospacing="0" w:afterAutospacing="0"/>
        <w:rPr>
          <w:rFonts w:hint="eastAsia" w:ascii="宋体" w:hAnsi="宋体" w:eastAsia="宋体" w:cs="宋体"/>
          <w:sz w:val="24"/>
          <w:szCs w:val="24"/>
          <w:highlight w:val="none"/>
        </w:rPr>
      </w:pPr>
      <w:r/>
      <w:bookmarkStart w:id="66" w:name="_Toc462564070"/>
      <w:r/>
      <w:bookmarkStart w:id="67" w:name="_Toc20823283"/>
      <w:r/>
      <w:bookmarkStart w:id="68" w:name="_Toc16938527"/>
      <w:r/>
      <w:bookmarkStart w:id="69" w:name="_Toc513029211"/>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pStyle w:val="856"/>
        <w:ind w:firstLine="560"/>
        <w:jc w:val="both"/>
        <w:keepLines/>
        <w:keepNext/>
        <w:spacing w:beforeAutospacing="0" w:afterAutospacing="0"/>
        <w:rPr>
          <w:rFonts w:hint="eastAsia" w:ascii="宋体" w:hAnsi="宋体" w:eastAsia="宋体" w:cs="宋体"/>
          <w:sz w:val="24"/>
          <w:szCs w:val="24"/>
          <w:highlight w:val="none"/>
        </w:rPr>
      </w:pPr>
      <w:r/>
      <w:bookmarkStart w:id="70" w:name="_Toc16938528"/>
      <w:r/>
      <w:bookmarkStart w:id="71" w:name="_Toc462564071"/>
      <w:r/>
      <w:bookmarkStart w:id="72" w:name="_Toc513029212"/>
      <w:r/>
      <w:bookmarkStart w:id="73" w:name="_Toc20823284"/>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856"/>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20823285"/>
      <w:r/>
      <w:bookmarkStart w:id="75" w:name="_Toc120614216"/>
      <w:r/>
      <w:bookmarkStart w:id="76" w:name="_Toc462564072"/>
      <w:r/>
      <w:bookmarkStart w:id="77" w:name="_Toc513029213"/>
      <w:r/>
      <w:bookmarkStart w:id="78" w:name="_Toc16938529"/>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856"/>
        <w:ind w:firstLine="560"/>
        <w:jc w:val="both"/>
        <w:keepLines/>
        <w:keepNext/>
        <w:spacing w:beforeAutospacing="0" w:afterAutospacing="0"/>
        <w:rPr>
          <w:rFonts w:hint="eastAsia" w:ascii="宋体" w:hAnsi="宋体" w:eastAsia="宋体" w:cs="宋体"/>
          <w:sz w:val="24"/>
          <w:szCs w:val="24"/>
          <w:highlight w:val="none"/>
        </w:rPr>
      </w:pPr>
      <w:r/>
      <w:bookmarkStart w:id="79" w:name="_Toc16938530"/>
      <w:r/>
      <w:bookmarkStart w:id="80" w:name="_Toc462564073"/>
      <w:r/>
      <w:bookmarkStart w:id="81" w:name="_Toc20823286"/>
      <w:r/>
      <w:bookmarkStart w:id="82" w:name="_Toc513029214"/>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56"/>
        <w:ind w:firstLine="420"/>
        <w:jc w:val="both"/>
        <w:keepLines/>
        <w:keepNext/>
        <w:spacing w:beforeAutospacing="0" w:afterAutospacing="0"/>
        <w:rPr>
          <w:rFonts w:hint="eastAsia" w:ascii="宋体" w:hAnsi="宋体" w:eastAsia="宋体" w:cs="宋体"/>
          <w:sz w:val="24"/>
          <w:szCs w:val="24"/>
          <w:highlight w:val="none"/>
        </w:rPr>
      </w:pPr>
      <w:r/>
      <w:bookmarkStart w:id="83" w:name="_Toc20823287"/>
      <w:r/>
      <w:bookmarkStart w:id="84" w:name="_Toc16938531"/>
      <w:r/>
      <w:bookmarkStart w:id="85" w:name="_Toc462564074"/>
      <w:r/>
      <w:bookmarkStart w:id="86" w:name="_Toc513029215"/>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856"/>
        <w:ind w:firstLine="420"/>
        <w:jc w:val="both"/>
        <w:keepLines/>
        <w:keepNext/>
        <w:spacing w:beforeAutospacing="0" w:afterAutospacing="0"/>
        <w:rPr>
          <w:rFonts w:hint="eastAsia" w:ascii="宋体" w:hAnsi="宋体" w:eastAsia="宋体" w:cs="宋体"/>
          <w:sz w:val="24"/>
          <w:szCs w:val="24"/>
          <w:highlight w:val="none"/>
        </w:rPr>
      </w:pPr>
      <w:r/>
      <w:bookmarkStart w:id="87" w:name="_Toc513029219"/>
      <w:r/>
      <w:bookmarkStart w:id="88" w:name="_Toc14577354"/>
      <w:r/>
      <w:bookmarkStart w:id="89" w:name="_Toc14577357"/>
      <w:r/>
      <w:bookmarkStart w:id="90" w:name="_Toc49090507"/>
      <w:r/>
      <w:bookmarkStart w:id="91" w:name="_Toc513029216"/>
      <w:r/>
      <w:bookmarkStart w:id="92" w:name="_Toc49090509"/>
      <w:r/>
      <w:bookmarkStart w:id="93" w:name="_Hlt26954838"/>
      <w:r/>
      <w:bookmarkStart w:id="94" w:name="_Hlt26668975"/>
      <w:r/>
      <w:bookmarkStart w:id="95" w:name="_Hlt26670360"/>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856"/>
        <w:jc w:val="both"/>
        <w:spacing w:beforeAutospacing="0" w:afterAutospacing="0" w:line="0" w:lineRule="atLeast"/>
        <w:rPr>
          <w:rFonts w:hint="eastAsia" w:ascii="宋体" w:hAnsi="宋体" w:eastAsia="宋体" w:cs="宋体"/>
          <w:sz w:val="24"/>
          <w:szCs w:val="24"/>
          <w:highlight w:val="none"/>
        </w:rPr>
      </w:pPr>
      <w:r/>
      <w:bookmarkStart w:id="96" w:name="_Toc14577355"/>
      <w:r/>
      <w:bookmarkStart w:id="97" w:name="_Toc49090508"/>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6"/>
      <w:r/>
      <w:bookmarkEnd w:id="97"/>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56"/>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8" w:name="_Hlt26670373"/>
      <w:r>
        <w:rPr>
          <w:rFonts w:hint="eastAsia" w:ascii="宋体" w:hAnsi="宋体" w:eastAsia="宋体" w:cs="宋体"/>
          <w:color w:val="000000"/>
          <w:sz w:val="24"/>
          <w:szCs w:val="24"/>
          <w:highlight w:val="none"/>
        </w:rPr>
        <w:t xml:space="preserve">表</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9" w:name="_Hlt26954840"/>
      <w:r>
        <w:rPr>
          <w:rFonts w:hint="eastAsia" w:ascii="宋体" w:hAnsi="宋体" w:eastAsia="宋体" w:cs="宋体"/>
          <w:color w:val="000000"/>
          <w:sz w:val="24"/>
          <w:szCs w:val="24"/>
          <w:highlight w:val="none"/>
        </w:rPr>
        <w:t xml:space="preserve">标人应按照招标文件规定格式填报投标分项报价表</w:t>
      </w:r>
      <w:bookmarkStart w:id="100" w:name="_Hlt26670399"/>
      <w:r>
        <w:rPr>
          <w:rFonts w:hint="eastAsia" w:ascii="宋体" w:hAnsi="宋体" w:eastAsia="宋体" w:cs="宋体"/>
          <w:color w:val="000000"/>
          <w:sz w:val="24"/>
          <w:szCs w:val="24"/>
          <w:highlight w:val="none"/>
        </w:rPr>
        <w:t xml:space="preserve">。</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56"/>
        <w:ind w:firstLine="420"/>
        <w:jc w:val="both"/>
        <w:keepLines/>
        <w:keepNext/>
        <w:spacing w:beforeAutospacing="0" w:afterAutospacing="0"/>
        <w:rPr>
          <w:rFonts w:hint="eastAsia" w:ascii="宋体" w:hAnsi="宋体" w:eastAsia="宋体" w:cs="宋体"/>
          <w:sz w:val="24"/>
          <w:szCs w:val="24"/>
          <w:highlight w:val="none"/>
        </w:rPr>
      </w:pPr>
      <w:r/>
      <w:bookmarkStart w:id="101" w:name="_Hlt26954844"/>
      <w:r/>
      <w:bookmarkStart w:id="102" w:name="_Hlt26670403"/>
      <w:r/>
      <w:bookmarkStart w:id="103" w:name="_Hlt26670486"/>
      <w:r/>
      <w:bookmarkStart w:id="104" w:name="_Hlt26954842"/>
      <w:r/>
      <w:bookmarkStart w:id="105" w:name="_Hlt26954846"/>
      <w:r/>
      <w:bookmarkStart w:id="106" w:name="_Hlt26670425"/>
      <w:r/>
      <w:bookmarkStart w:id="107" w:name="_Hlt26670482"/>
      <w:r/>
      <w:bookmarkStart w:id="108" w:name="_Hlt26954731"/>
      <w:r/>
      <w:bookmarkStart w:id="109" w:name="_Hlt26668983"/>
      <w:r/>
      <w:bookmarkStart w:id="110" w:name="_Hlt26954848"/>
      <w:r>
        <w:rPr>
          <w:rFonts w:hint="eastAsia" w:ascii="宋体" w:hAnsi="宋体" w:eastAsia="宋体" w:cs="宋体"/>
          <w:color w:val="000000"/>
          <w:sz w:val="24"/>
          <w:szCs w:val="24"/>
          <w:highlight w:val="none"/>
        </w:rPr>
        <w:t xml:space="preserve">13、技术要求响应及偏离表、商务要求响应及偏离表</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56"/>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56"/>
        <w:ind w:firstLine="420"/>
        <w:jc w:val="both"/>
        <w:keepLines/>
        <w:keepNext/>
        <w:spacing w:beforeAutospacing="0" w:afterAutospacing="0"/>
        <w:rPr>
          <w:rFonts w:hint="eastAsia" w:ascii="宋体" w:hAnsi="宋体" w:eastAsia="宋体" w:cs="宋体"/>
          <w:sz w:val="24"/>
          <w:szCs w:val="24"/>
          <w:highlight w:val="none"/>
        </w:rPr>
      </w:pPr>
      <w:r/>
      <w:bookmarkStart w:id="111" w:name="_Toc14577359"/>
      <w:r/>
      <w:bookmarkStart w:id="112" w:name="_Toc49090510"/>
      <w:r>
        <w:rPr>
          <w:rFonts w:hint="eastAsia" w:ascii="宋体" w:hAnsi="宋体" w:eastAsia="宋体" w:cs="宋体"/>
          <w:color w:val="000000"/>
          <w:sz w:val="24"/>
          <w:szCs w:val="24"/>
          <w:highlight w:val="none"/>
        </w:rPr>
        <w:t xml:space="preserve">14、投标函和开标一览表</w:t>
      </w:r>
      <w:bookmarkEnd w:id="111"/>
      <w:r/>
      <w:bookmarkEnd w:id="112"/>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56"/>
        <w:ind w:firstLine="420"/>
        <w:jc w:val="both"/>
        <w:keepLines/>
        <w:keepNext/>
        <w:spacing w:beforeAutospacing="0" w:afterAutospacing="0"/>
        <w:rPr>
          <w:rFonts w:hint="eastAsia" w:ascii="宋体" w:hAnsi="宋体" w:eastAsia="宋体" w:cs="宋体"/>
          <w:sz w:val="24"/>
          <w:szCs w:val="24"/>
          <w:highlight w:val="none"/>
        </w:rPr>
      </w:pPr>
      <w:r/>
      <w:bookmarkStart w:id="113" w:name="_Toc49090511"/>
      <w:r/>
      <w:bookmarkStart w:id="114" w:name="_Toc14577360"/>
      <w:r/>
      <w:bookmarkStart w:id="115" w:name="_Hlt26954734"/>
      <w:r/>
      <w:bookmarkStart w:id="116" w:name="_Hlt26954850"/>
      <w:r/>
      <w:bookmarkStart w:id="117" w:name="_Hlt26670489"/>
      <w:r>
        <w:rPr>
          <w:rFonts w:hint="eastAsia" w:ascii="宋体" w:hAnsi="宋体" w:eastAsia="宋体" w:cs="宋体"/>
          <w:color w:val="000000"/>
          <w:sz w:val="24"/>
          <w:szCs w:val="24"/>
          <w:highlight w:val="none"/>
        </w:rPr>
        <w:t xml:space="preserve">15、投标有效期</w:t>
      </w:r>
      <w:bookmarkEnd w:id="113"/>
      <w:r/>
      <w:bookmarkEnd w:id="114"/>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56"/>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56"/>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8" w:name="_Toc513029224"/>
      <w:r/>
      <w:bookmarkStart w:id="119" w:name="_Toc16938540"/>
      <w:r/>
      <w:bookmarkStart w:id="120" w:name="_Toc120614217"/>
      <w:r/>
      <w:bookmarkStart w:id="121" w:name="_Toc20823296"/>
      <w:r/>
      <w:bookmarkStart w:id="122" w:name="_Hlt26954739"/>
      <w:r/>
      <w:bookmarkStart w:id="123" w:name="_Hlt26954852"/>
      <w:r>
        <w:rPr>
          <w:rFonts w:hint="eastAsia" w:ascii="宋体" w:hAnsi="宋体" w:eastAsia="宋体" w:cs="宋体"/>
          <w:b/>
          <w:color w:val="000000"/>
          <w:sz w:val="24"/>
          <w:szCs w:val="24"/>
          <w:highlight w:val="none"/>
        </w:rPr>
        <w:t xml:space="preserve">四、投标文件的递交</w:t>
      </w:r>
      <w:bookmarkEnd w:id="118"/>
      <w:r/>
      <w:bookmarkEnd w:id="119"/>
      <w:r/>
      <w:bookmarkEnd w:id="120"/>
      <w:r/>
      <w:bookmarkEnd w:id="121"/>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rPr>
      </w:pPr>
      <w:r/>
      <w:bookmarkStart w:id="124" w:name="_Toc462564084"/>
      <w:r/>
      <w:bookmarkStart w:id="125" w:name="_Toc20823297"/>
      <w:r/>
      <w:bookmarkStart w:id="126" w:name="_Toc513029225"/>
      <w:r/>
      <w:bookmarkStart w:id="127" w:name="_Toc16938541"/>
      <w:r>
        <w:rPr>
          <w:rFonts w:hint="eastAsia" w:ascii="宋体" w:hAnsi="宋体" w:eastAsia="宋体" w:cs="宋体"/>
          <w:color w:val="000000"/>
          <w:sz w:val="24"/>
          <w:szCs w:val="24"/>
          <w:highlight w:val="none"/>
        </w:rPr>
        <w:t xml:space="preserve">17、投标文件</w:t>
      </w:r>
      <w:bookmarkEnd w:id="124"/>
      <w:r/>
      <w:bookmarkEnd w:id="125"/>
      <w:r/>
      <w:bookmarkEnd w:id="126"/>
      <w:r/>
      <w:bookmarkEnd w:id="127"/>
      <w:r>
        <w:rPr>
          <w:rFonts w:hint="eastAsia" w:ascii="宋体" w:hAnsi="宋体" w:eastAsia="宋体" w:cs="宋体"/>
          <w:color w:val="000000"/>
          <w:sz w:val="24"/>
          <w:szCs w:val="24"/>
          <w:highlight w:val="none"/>
        </w:rPr>
        <w:t xml:space="preserve">的递交</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856"/>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56"/>
        <w:ind w:firstLine="420"/>
        <w:jc w:val="both"/>
        <w:keepLines/>
        <w:keepNext/>
        <w:spacing w:beforeAutospacing="0" w:afterAutospacing="0"/>
        <w:rPr>
          <w:rFonts w:hint="eastAsia" w:ascii="宋体" w:hAnsi="宋体" w:eastAsia="宋体" w:cs="宋体"/>
          <w:sz w:val="24"/>
          <w:szCs w:val="24"/>
          <w:highlight w:val="none"/>
        </w:rPr>
      </w:pPr>
      <w:r/>
      <w:bookmarkStart w:id="131" w:name="_Toc513029227"/>
      <w:r/>
      <w:bookmarkStart w:id="132" w:name="_Toc20823299"/>
      <w:r/>
      <w:bookmarkStart w:id="133" w:name="_Toc16938543"/>
      <w:r>
        <w:rPr>
          <w:rFonts w:hint="eastAsia" w:ascii="宋体" w:hAnsi="宋体" w:eastAsia="宋体" w:cs="宋体"/>
          <w:color w:val="000000"/>
          <w:sz w:val="24"/>
          <w:szCs w:val="24"/>
          <w:highlight w:val="none"/>
        </w:rPr>
        <w:t xml:space="preserve">19、投标文件</w:t>
      </w:r>
      <w:bookmarkEnd w:id="131"/>
      <w:r/>
      <w:bookmarkEnd w:id="132"/>
      <w:r/>
      <w:bookmarkEnd w:id="133"/>
      <w:r>
        <w:rPr>
          <w:rFonts w:hint="eastAsia" w:ascii="宋体" w:hAnsi="宋体" w:eastAsia="宋体" w:cs="宋体"/>
          <w:color w:val="000000"/>
          <w:sz w:val="24"/>
          <w:szCs w:val="24"/>
          <w:highlight w:val="none"/>
        </w:rPr>
        <w:t xml:space="preserve">的拒收</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56"/>
        <w:ind w:firstLine="420"/>
        <w:jc w:val="both"/>
        <w:keepLines/>
        <w:keepNext/>
        <w:spacing w:beforeAutospacing="0" w:afterAutospacing="0"/>
        <w:rPr>
          <w:rFonts w:hint="eastAsia" w:ascii="宋体" w:hAnsi="宋体" w:eastAsia="宋体" w:cs="宋体"/>
          <w:sz w:val="24"/>
          <w:szCs w:val="24"/>
          <w:highlight w:val="none"/>
        </w:rPr>
      </w:pPr>
      <w:r/>
      <w:bookmarkStart w:id="134" w:name="_Toc513029228"/>
      <w:r/>
      <w:bookmarkStart w:id="135" w:name="_Toc20823300"/>
      <w:r/>
      <w:bookmarkStart w:id="136" w:name="_Toc16938544"/>
      <w:r>
        <w:rPr>
          <w:rFonts w:hint="eastAsia" w:ascii="宋体" w:hAnsi="宋体" w:eastAsia="宋体" w:cs="宋体"/>
          <w:color w:val="000000"/>
          <w:sz w:val="24"/>
          <w:szCs w:val="24"/>
          <w:highlight w:val="none"/>
        </w:rPr>
        <w:t xml:space="preserve">20、投标文件的撤回和修改</w:t>
      </w:r>
      <w:bookmarkEnd w:id="134"/>
      <w:r/>
      <w:bookmarkEnd w:id="135"/>
      <w:r/>
      <w:bookmarkEnd w:id="136"/>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856"/>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7" w:name="_Toc120614218"/>
      <w:r/>
      <w:bookmarkStart w:id="138" w:name="_Toc16938545"/>
      <w:r/>
      <w:bookmarkStart w:id="139" w:name="_Toc20823301"/>
      <w:r/>
      <w:bookmarkStart w:id="140" w:name="_Toc513029229"/>
      <w:r>
        <w:rPr>
          <w:rFonts w:hint="eastAsia" w:ascii="宋体" w:hAnsi="宋体" w:eastAsia="宋体" w:cs="宋体"/>
          <w:b/>
          <w:color w:val="000000"/>
          <w:sz w:val="24"/>
          <w:szCs w:val="24"/>
          <w:highlight w:val="none"/>
        </w:rPr>
        <w:t xml:space="preserve">五、开标与评标</w:t>
      </w:r>
      <w:bookmarkEnd w:id="137"/>
      <w:r/>
      <w:bookmarkEnd w:id="138"/>
      <w:r/>
      <w:bookmarkEnd w:id="139"/>
      <w:r/>
      <w:bookmarkEnd w:id="140"/>
      <w:r/>
      <w:r/>
    </w:p>
    <w:p>
      <w:pPr>
        <w:pStyle w:val="856"/>
        <w:ind w:firstLine="420"/>
        <w:jc w:val="both"/>
        <w:keepLines/>
        <w:keepNext/>
        <w:spacing w:beforeAutospacing="0" w:afterAutospacing="0"/>
        <w:rPr>
          <w:rFonts w:hint="eastAsia" w:ascii="宋体" w:hAnsi="宋体" w:eastAsia="宋体" w:cs="宋体"/>
          <w:color w:val="auto"/>
          <w:sz w:val="24"/>
          <w:szCs w:val="24"/>
          <w:highlight w:val="none"/>
        </w:rPr>
      </w:pPr>
      <w:r/>
      <w:bookmarkStart w:id="141" w:name="_Toc16938546"/>
      <w:r/>
      <w:bookmarkStart w:id="142" w:name="_Toc20823302"/>
      <w:r/>
      <w:bookmarkStart w:id="143" w:name="_Toc513029230"/>
      <w:r>
        <w:rPr>
          <w:rFonts w:hint="eastAsia" w:ascii="宋体" w:hAnsi="宋体" w:eastAsia="宋体" w:cs="宋体"/>
          <w:color w:val="auto"/>
          <w:sz w:val="24"/>
          <w:szCs w:val="24"/>
          <w:highlight w:val="none"/>
        </w:rPr>
        <w:t xml:space="preserve">21、开标</w:t>
      </w:r>
      <w:bookmarkEnd w:id="141"/>
      <w:r/>
      <w:bookmarkEnd w:id="142"/>
      <w:r/>
      <w:bookmarkEnd w:id="143"/>
      <w:r/>
      <w:r/>
    </w:p>
    <w:p>
      <w:pPr>
        <w:pStyle w:val="856"/>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21.2开标仪式由采购人或代理机构组织。苏采云系统将自动对项目进行开标，并宣布各投标人名称和投标价格。</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56"/>
        <w:ind w:firstLine="420"/>
        <w:jc w:val="both"/>
        <w:keepLines/>
        <w:keepNext/>
        <w:spacing w:beforeAutospacing="0" w:afterAutospacing="0"/>
        <w:rPr>
          <w:rFonts w:hint="eastAsia" w:ascii="宋体" w:hAnsi="宋体" w:eastAsia="宋体" w:cs="宋体"/>
          <w:color w:val="auto"/>
          <w:sz w:val="24"/>
          <w:szCs w:val="24"/>
          <w:highlight w:val="none"/>
        </w:rPr>
      </w:pPr>
      <w:r/>
      <w:bookmarkStart w:id="144" w:name="_Toc513029231"/>
      <w:r/>
      <w:bookmarkStart w:id="145" w:name="_Toc20823303"/>
      <w:r/>
      <w:bookmarkStart w:id="146" w:name="_Toc16938547"/>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856"/>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将立即组织评标委员会（以下简称评委会）进行评标。</w:t>
      </w:r>
      <w:r/>
    </w:p>
    <w:p>
      <w:pPr>
        <w:pStyle w:val="856"/>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56"/>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56"/>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w:t>
      </w:r>
      <w:r>
        <w:rPr>
          <w:rFonts w:hint="eastAsia" w:ascii="宋体" w:hAnsi="宋体" w:eastAsia="宋体" w:cs="宋体"/>
          <w:color w:val="auto"/>
          <w:sz w:val="24"/>
          <w:szCs w:val="24"/>
          <w:highlight w:val="none"/>
          <w:lang w:val="en-US" w:eastAsia="zh-CN"/>
        </w:rPr>
        <w:t xml:space="preserve">人、招标代理机构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856"/>
        <w:ind w:firstLine="420"/>
        <w:jc w:val="both"/>
        <w:keepLines/>
        <w:keepNext/>
        <w:spacing w:beforeAutospacing="0" w:afterAutospacing="0"/>
        <w:rPr>
          <w:rFonts w:hint="eastAsia" w:ascii="宋体" w:hAnsi="宋体" w:eastAsia="宋体" w:cs="宋体"/>
          <w:sz w:val="24"/>
          <w:szCs w:val="24"/>
          <w:highlight w:val="none"/>
        </w:rPr>
      </w:pPr>
      <w:r/>
      <w:bookmarkStart w:id="147" w:name="_Toc513029232"/>
      <w:r/>
      <w:bookmarkStart w:id="148" w:name="_Toc16938548"/>
      <w:r/>
      <w:bookmarkStart w:id="149" w:name="_Toc20823304"/>
      <w:r>
        <w:rPr>
          <w:rFonts w:hint="eastAsia" w:ascii="宋体" w:hAnsi="宋体" w:eastAsia="宋体" w:cs="宋体"/>
          <w:color w:val="000000"/>
          <w:sz w:val="24"/>
          <w:szCs w:val="24"/>
          <w:highlight w:val="none"/>
        </w:rPr>
        <w:t xml:space="preserve">24、投标文件的澄清</w:t>
      </w:r>
      <w:bookmarkEnd w:id="147"/>
      <w:r/>
      <w:bookmarkEnd w:id="148"/>
      <w:r/>
      <w:bookmarkEnd w:id="149"/>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856"/>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56"/>
        <w:ind w:firstLine="420"/>
        <w:jc w:val="both"/>
        <w:keepLines/>
        <w:keepNext/>
        <w:spacing w:beforeAutospacing="0" w:afterAutospacing="0"/>
        <w:rPr>
          <w:rFonts w:hint="eastAsia" w:ascii="宋体" w:hAnsi="宋体" w:eastAsia="宋体" w:cs="宋体"/>
          <w:sz w:val="24"/>
          <w:szCs w:val="24"/>
          <w:highlight w:val="none"/>
        </w:rPr>
      </w:pPr>
      <w:r/>
      <w:bookmarkStart w:id="150" w:name="_Toc20823305"/>
      <w:r/>
      <w:bookmarkStart w:id="151" w:name="_Toc513029233"/>
      <w:r/>
      <w:bookmarkStart w:id="152" w:name="_Toc16938549"/>
      <w:r>
        <w:rPr>
          <w:rFonts w:hint="eastAsia" w:ascii="宋体" w:hAnsi="宋体" w:eastAsia="宋体" w:cs="宋体"/>
          <w:color w:val="000000"/>
          <w:sz w:val="24"/>
          <w:szCs w:val="24"/>
          <w:highlight w:val="none"/>
        </w:rPr>
        <w:t xml:space="preserve">25、对投标文件的初审</w:t>
      </w:r>
      <w:bookmarkEnd w:id="150"/>
      <w:r/>
      <w:bookmarkEnd w:id="151"/>
      <w:r/>
      <w:bookmarkEnd w:id="152"/>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6"/>
        <w:ind w:firstLine="420"/>
        <w:jc w:val="both"/>
        <w:spacing w:beforeAutospacing="0" w:afterAutospacing="0" w:line="0" w:lineRule="atLeast"/>
        <w:rPr>
          <w:rFonts w:hint="eastAsia" w:ascii="宋体" w:hAnsi="宋体" w:eastAsia="宋体" w:cs="宋体"/>
          <w:color w:val="auto"/>
          <w:sz w:val="24"/>
          <w:szCs w:val="24"/>
          <w:highlight w:val="none"/>
        </w:rPr>
      </w:pPr>
      <w:r/>
      <w:bookmarkStart w:id="153" w:name="_Toc16938550"/>
      <w:r/>
      <w:bookmarkStart w:id="154" w:name="_Toc513029234"/>
      <w:r/>
      <w:bookmarkStart w:id="155"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856"/>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56"/>
        <w:ind w:left="479"/>
        <w:jc w:val="both"/>
        <w:spacing w:beforeAutospacing="0" w:afterAutospacing="0" w:line="0" w:lineRule="atLeast"/>
        <w:rPr>
          <w:rFonts w:hint="eastAsia" w:ascii="宋体" w:hAnsi="宋体" w:eastAsia="宋体" w:cs="宋体"/>
          <w:color w:val="auto"/>
          <w:sz w:val="24"/>
          <w:szCs w:val="24"/>
          <w:highlight w:val="none"/>
        </w:rPr>
      </w:pPr>
      <w:r/>
      <w:bookmarkStart w:id="156" w:name="_Toc16938551"/>
      <w:r/>
      <w:bookmarkStart w:id="157" w:name="_Toc513029235"/>
      <w:r/>
      <w:bookmarkStart w:id="158" w:name="_Toc20823307"/>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56"/>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56"/>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56"/>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56"/>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56"/>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56"/>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56"/>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56"/>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56"/>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856"/>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56"/>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6"/>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6"/>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6"/>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56"/>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56"/>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56"/>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56"/>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56"/>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56"/>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56"/>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9" w:name="_Toc120614219"/>
      <w:r>
        <w:rPr>
          <w:rFonts w:hint="eastAsia" w:ascii="宋体" w:hAnsi="宋体" w:eastAsia="宋体" w:cs="宋体"/>
          <w:b/>
          <w:color w:val="000000"/>
          <w:sz w:val="24"/>
          <w:szCs w:val="24"/>
          <w:highlight w:val="none"/>
        </w:rPr>
        <w:t xml:space="preserve">六、定标</w:t>
      </w:r>
      <w:bookmarkEnd w:id="159"/>
      <w:r/>
      <w:r/>
    </w:p>
    <w:p>
      <w:pPr>
        <w:pStyle w:val="856"/>
        <w:ind w:firstLine="600"/>
        <w:jc w:val="both"/>
        <w:keepLines/>
        <w:keepNext/>
        <w:spacing w:beforeAutospacing="0" w:afterAutospacing="0"/>
        <w:rPr>
          <w:rFonts w:hint="eastAsia" w:ascii="宋体" w:hAnsi="宋体" w:eastAsia="宋体" w:cs="宋体"/>
          <w:sz w:val="24"/>
          <w:szCs w:val="24"/>
          <w:highlight w:val="none"/>
        </w:rPr>
      </w:pPr>
      <w:r/>
      <w:bookmarkStart w:id="160" w:name="_Toc20823310"/>
      <w:r/>
      <w:bookmarkStart w:id="161" w:name="_Toc16938554"/>
      <w:r/>
      <w:bookmarkStart w:id="162" w:name="_Toc513029238"/>
      <w:r>
        <w:rPr>
          <w:rFonts w:hint="eastAsia" w:ascii="宋体" w:hAnsi="宋体" w:eastAsia="宋体" w:cs="宋体"/>
          <w:color w:val="000000"/>
          <w:sz w:val="24"/>
          <w:szCs w:val="24"/>
          <w:highlight w:val="none"/>
        </w:rPr>
        <w:t xml:space="preserve">27、</w:t>
      </w:r>
      <w:bookmarkEnd w:id="160"/>
      <w:r>
        <w:rPr>
          <w:rFonts w:hint="eastAsia" w:ascii="宋体" w:hAnsi="宋体" w:eastAsia="宋体" w:cs="宋体"/>
          <w:color w:val="000000"/>
          <w:sz w:val="24"/>
          <w:szCs w:val="24"/>
          <w:highlight w:val="none"/>
        </w:rPr>
        <w:t xml:space="preserve">确定</w:t>
      </w:r>
      <w:bookmarkEnd w:id="161"/>
      <w:r/>
      <w:bookmarkEnd w:id="162"/>
      <w:r>
        <w:rPr>
          <w:rFonts w:hint="eastAsia" w:ascii="宋体" w:hAnsi="宋体" w:eastAsia="宋体" w:cs="宋体"/>
          <w:color w:val="000000"/>
          <w:sz w:val="24"/>
          <w:szCs w:val="24"/>
          <w:highlight w:val="none"/>
        </w:rPr>
        <w:t xml:space="preserve">中标单位</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56"/>
        <w:ind w:firstLine="480"/>
        <w:jc w:val="both"/>
        <w:spacing w:beforeAutospacing="0" w:afterAutospacing="0" w:line="0" w:lineRule="atLeast"/>
        <w:rPr>
          <w:rFonts w:hint="eastAsia" w:ascii="宋体" w:hAnsi="宋体" w:eastAsia="宋体" w:cs="宋体"/>
          <w:sz w:val="24"/>
          <w:szCs w:val="24"/>
          <w:highlight w:val="none"/>
        </w:rPr>
      </w:pPr>
      <w:r/>
      <w:bookmarkStart w:id="163" w:name="_Toc200451960"/>
      <w:r>
        <w:rPr>
          <w:rFonts w:hint="eastAsia" w:ascii="宋体" w:hAnsi="宋体" w:eastAsia="宋体" w:cs="宋体"/>
          <w:color w:val="000000"/>
          <w:sz w:val="24"/>
          <w:szCs w:val="24"/>
          <w:highlight w:val="none"/>
        </w:rPr>
        <w:t xml:space="preserve">27.5 有下列情形之一的，视为投标人串通投标，投标无效：</w:t>
      </w:r>
      <w:bookmarkEnd w:id="163"/>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56"/>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28.4条款的规定向采购人提出质疑。上述应知其权益受到损害之日，是指：</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6"/>
        <w:ind w:firstLine="4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提出，由采购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负责答复。</w:t>
      </w:r>
      <w:r/>
    </w:p>
    <w:p>
      <w:pPr>
        <w:ind w:firstLine="480"/>
        <w:jc w:val="left"/>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采购人只接收以纸质原件形式送达的质疑,采购人不接受未填写快递运单的快件。</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56"/>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56"/>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856"/>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6"/>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856"/>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4" w:name="_Toc120614220"/>
      <w:r/>
      <w:bookmarkStart w:id="165" w:name="_Toc20823308"/>
      <w:r/>
      <w:bookmarkStart w:id="166" w:name="_Toc16938552"/>
      <w:r/>
      <w:bookmarkStart w:id="167" w:name="_Toc513029236"/>
      <w:r>
        <w:rPr>
          <w:rFonts w:hint="eastAsia" w:ascii="宋体" w:hAnsi="宋体" w:eastAsia="宋体" w:cs="宋体"/>
          <w:b/>
          <w:color w:val="000000"/>
          <w:sz w:val="24"/>
          <w:szCs w:val="24"/>
          <w:highlight w:val="none"/>
        </w:rPr>
        <w:t xml:space="preserve">七、授予合同</w:t>
      </w:r>
      <w:bookmarkEnd w:id="164"/>
      <w:r/>
      <w:bookmarkEnd w:id="165"/>
      <w:r/>
      <w:bookmarkEnd w:id="166"/>
      <w:r/>
      <w:bookmarkEnd w:id="167"/>
      <w:r/>
      <w:r/>
    </w:p>
    <w:p>
      <w:pPr>
        <w:pStyle w:val="856"/>
        <w:ind w:firstLine="600"/>
        <w:jc w:val="both"/>
        <w:keepLines/>
        <w:keepNext/>
        <w:spacing w:beforeAutospacing="0" w:afterAutospacing="0"/>
        <w:rPr>
          <w:rFonts w:hint="eastAsia" w:ascii="宋体" w:hAnsi="宋体" w:eastAsia="宋体" w:cs="宋体"/>
          <w:sz w:val="24"/>
          <w:szCs w:val="24"/>
          <w:highlight w:val="none"/>
        </w:rPr>
      </w:pPr>
      <w:r/>
      <w:bookmarkStart w:id="168" w:name="_Toc20823309"/>
      <w:r/>
      <w:bookmarkStart w:id="169" w:name="_Toc16938553"/>
      <w:r/>
      <w:bookmarkStart w:id="170" w:name="_Toc513029237"/>
      <w:r>
        <w:rPr>
          <w:rFonts w:hint="eastAsia" w:ascii="宋体" w:hAnsi="宋体" w:eastAsia="宋体" w:cs="宋体"/>
          <w:color w:val="000000"/>
          <w:sz w:val="24"/>
          <w:szCs w:val="24"/>
          <w:highlight w:val="none"/>
        </w:rPr>
        <w:t xml:space="preserve">30.签订合同</w:t>
      </w:r>
      <w:bookmarkEnd w:id="168"/>
      <w:r/>
      <w:bookmarkEnd w:id="169"/>
      <w:r/>
      <w:bookmarkEnd w:id="170"/>
      <w:r/>
      <w:r/>
    </w:p>
    <w:p>
      <w:pPr>
        <w:pStyle w:val="856"/>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56"/>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56"/>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56"/>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85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6"/>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56"/>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56"/>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keepLines w:val="0"/>
        <w:keepNext w:val="0"/>
        <w:pageBreakBefore w:val="0"/>
        <w:spacing w:line="500" w:lineRule="exact"/>
        <w:widowControl w:val="off"/>
        <w:rPr>
          <w:sz w:val="36"/>
          <w:szCs w:val="36"/>
          <w:highlight w:val="none"/>
        </w:rPr>
      </w:pPr>
      <w:r>
        <w:rPr>
          <w:rFonts w:hint="eastAsia" w:ascii="黑体" w:hAnsi="宋体" w:eastAsia="黑体" w:cs="黑体"/>
          <w:color w:val="000000"/>
          <w:sz w:val="36"/>
          <w:szCs w:val="36"/>
          <w:highlight w:val="none"/>
        </w:rPr>
        <w:t xml:space="preserve">第三章 合同文本</w:t>
      </w:r>
      <w:r/>
    </w:p>
    <w:p>
      <w:pPr>
        <w:pStyle w:val="856"/>
        <w:ind w:firstLine="480"/>
        <w:jc w:val="both"/>
        <w:keepLines w:val="0"/>
        <w:keepNext w:val="0"/>
        <w:pageBreakBefore w:val="0"/>
        <w:spacing w:beforeAutospacing="0" w:afterAutospacing="0" w:line="500" w:lineRule="exact"/>
        <w:widowControl w:val="off"/>
        <w:rPr>
          <w:sz w:val="24"/>
          <w:szCs w:val="24"/>
          <w:highlight w:val="none"/>
        </w:rPr>
      </w:pPr>
      <w:r/>
      <w:bookmarkStart w:id="171" w:name="_Toc513029243"/>
      <w:r/>
      <w:bookmarkStart w:id="172" w:name="_Toc16938559"/>
      <w:r/>
      <w:bookmarkStart w:id="173" w:name="_Toc20823315"/>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1"/>
      <w:r/>
      <w:bookmarkEnd w:id="172"/>
      <w:r/>
      <w:bookmarkEnd w:id="173"/>
      <w:r/>
      <w:r/>
    </w:p>
    <w:p>
      <w:pPr>
        <w:pStyle w:val="856"/>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865"/>
        <w:ind w:firstLine="480"/>
        <w:jc w:val="both"/>
        <w:spacing w:before="120" w:beforeAutospacing="0" w:after="120" w:afterAutospacing="0"/>
        <w:rPr>
          <w:rFonts w:hint="eastAsia" w:ascii="宋体" w:hAnsi="宋体" w:eastAsia="宋体" w:cs="宋体"/>
          <w:color w:val="000000"/>
          <w:highlight w:val="none"/>
          <w:u w:val="single"/>
          <w:lang w:val="en-US" w:eastAsia="zh-CN"/>
        </w:rPr>
      </w:pPr>
      <w:r/>
      <w:bookmarkStart w:id="174" w:name="_Toc479757211"/>
      <w:r/>
      <w:bookmarkStart w:id="175" w:name="_Toc16938590"/>
      <w:r/>
      <w:bookmarkStart w:id="176" w:name="_Hlt16619350"/>
      <w:r/>
      <w:bookmarkStart w:id="177" w:name="_Toc120614244"/>
      <w:r/>
      <w:bookmarkStart w:id="178" w:name="_Toc462564139"/>
      <w:r/>
      <w:bookmarkStart w:id="179" w:name="_Toc20823346"/>
      <w:r/>
      <w:bookmarkStart w:id="180" w:name="_Hlt16619369"/>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u w:val="single"/>
          <w:lang w:val="en-US" w:eastAsia="zh-CN"/>
        </w:rPr>
        <w:t xml:space="preserve"> 东台市公安技防设施维保项目 </w:t>
      </w:r>
      <w:r/>
    </w:p>
    <w:p>
      <w:pPr>
        <w:pStyle w:val="865"/>
        <w:ind w:firstLine="480"/>
        <w:jc w:val="both"/>
        <w:spacing w:before="120" w:beforeAutospacing="0" w:after="120" w:afterAutospacing="0"/>
        <w:rPr>
          <w:rFonts w:hint="default" w:ascii="宋体" w:hAnsi="宋体" w:eastAsia="宋体" w:cs="宋体"/>
          <w:color w:val="000000"/>
          <w:highlight w:val="none"/>
          <w:u w:val="single"/>
          <w:lang w:val="en-US" w:eastAsia="zh-CN"/>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u w:val="single"/>
          <w:lang w:val="en-US" w:eastAsia="zh-CN"/>
        </w:rPr>
        <w:t xml:space="preserve">                           </w:t>
      </w:r>
      <w:r/>
    </w:p>
    <w:p>
      <w:pPr>
        <w:pStyle w:val="86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甲方（买方）：</w:t>
      </w:r>
      <w:r>
        <w:rPr>
          <w:rFonts w:hint="eastAsia" w:ascii="宋体" w:hAnsi="宋体" w:eastAsia="宋体" w:cs="宋体"/>
          <w:color w:val="000000"/>
          <w:highlight w:val="none"/>
          <w:u w:val="single"/>
          <w:lang w:val="en-US" w:eastAsia="zh-CN"/>
        </w:rPr>
        <w:t xml:space="preserve"> 东台市公安局          </w:t>
      </w:r>
      <w:r/>
    </w:p>
    <w:p>
      <w:pPr>
        <w:pStyle w:val="86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乙方（卖方）：</w:t>
      </w:r>
      <w:r>
        <w:rPr>
          <w:rFonts w:hint="eastAsia" w:ascii="宋体" w:hAnsi="宋体" w:eastAsia="宋体" w:cs="宋体"/>
          <w:color w:val="000000"/>
          <w:highlight w:val="none"/>
          <w:u w:val="single"/>
          <w:lang w:val="en-US" w:eastAsia="zh-CN"/>
        </w:rPr>
        <w:t xml:space="preserve">                       </w:t>
      </w:r>
      <w:r/>
    </w:p>
    <w:p>
      <w:pPr>
        <w:pStyle w:val="865"/>
        <w:jc w:val="both"/>
        <w:spacing w:before="120" w:beforeAutospacing="0" w:after="120" w:afterAutospacing="0"/>
        <w:rPr>
          <w:rFonts w:hint="eastAsia" w:ascii="宋体" w:hAnsi="宋体" w:eastAsia="宋体" w:cs="宋体"/>
          <w:sz w:val="24"/>
          <w:szCs w:val="24"/>
          <w:highlight w:val="none"/>
          <w:lang w:val="en-US" w:eastAsia="zh-CN" w:bidi="ar-SA"/>
        </w:rPr>
      </w:pPr>
      <w:r>
        <w:rPr>
          <w:rFonts w:hint="eastAsia" w:ascii="宋体" w:hAnsi="宋体" w:eastAsia="宋体" w:cs="宋体"/>
          <w:b w:val="0"/>
          <w:bCs/>
          <w:color w:val="000000"/>
          <w:highlight w:val="none"/>
        </w:rPr>
        <w:t xml:space="preserve"> </w:t>
      </w:r>
      <w:r>
        <w:rPr>
          <w:rFonts w:hint="eastAsia" w:ascii="宋体" w:hAnsi="宋体" w:eastAsia="宋体" w:cs="宋体"/>
          <w:sz w:val="24"/>
          <w:szCs w:val="24"/>
          <w:highlight w:val="none"/>
          <w:lang w:val="en-US" w:eastAsia="zh-CN" w:bidi="ar-SA"/>
        </w:rPr>
        <w:t xml:space="preserve"> 甲、乙双方根据《中华人民共和国民法典》《中华人民共和国政府采购法》等相关法律法规及本项目公开招标结果，本着平等自愿、公平诚信、权责统一的原则，经友好协商，就东台市公安技防设施维保项目服务事宜，订立本合同，双方共同遵照执行。</w:t>
      </w:r>
      <w:r/>
    </w:p>
    <w:p>
      <w:pPr>
        <w:pStyle w:val="865"/>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一、合同内容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1.1 标的名称：</w:t>
      </w:r>
      <w:r>
        <w:rPr>
          <w:rFonts w:hint="eastAsia" w:ascii="宋体" w:hAnsi="宋体" w:eastAsia="宋体" w:cs="宋体"/>
          <w:color w:val="000000"/>
          <w:sz w:val="24"/>
          <w:szCs w:val="24"/>
          <w:highlight w:val="none"/>
          <w:lang w:eastAsia="zh-CN"/>
        </w:rPr>
        <w:t xml:space="preserve">东台市公安技防设施维保项目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标的质量：乙方提供的备品备件为全新未使用过的原装正品，附带合格证、产品安装使用说明书等完整资料；所有服务、设备质量、安装调试标准符合国家现行规范、行业标准及招标文件全部要求，与东台市公安现有技防设备、系统完全兼容，可稳定对接公安业务平台，满足公安实战运维需求。维保服务全程符合《东台市公安局视频监控技术设备运维考核办法》相关规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标的数量（规模）：具体内容详见维保服务清单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履行时间（期限）：自合同签订之日起1年，服务期内全程提供全周期维保保障服务。</w:t>
      </w:r>
      <w:r/>
    </w:p>
    <w:p>
      <w:pPr>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1.5 履行地点：东台市境内，甲方指定的所有设备点位及办公服务场所。</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履行方式：乙方为本项目提供全流程、常态化维保服务，包含日常巡检与预防性维护、7×24小时故障响应维修、原厂正品备品备件储备与更换、系统技术支持、人员专项培训、节假日及重大活动专项安保保障、设备在线率保障、数据安全保密等全部服务内容，确保所有技防设施稳定运行、数据传输正常、满足公安实战使用要求。</w:t>
      </w:r>
      <w:r/>
    </w:p>
    <w:p>
      <w:pPr>
        <w:pStyle w:val="865"/>
        <w:ind w:firstLine="482"/>
        <w:jc w:val="both"/>
        <w:spacing w:before="120" w:beforeAutospacing="0" w:after="120" w:afterAutospacing="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二、合同金额</w:t>
      </w:r>
      <w:r/>
    </w:p>
    <w:p>
      <w:pPr>
        <w:ind w:firstLine="422"/>
        <w:spacing w:line="500" w:lineRule="exact"/>
        <w:rPr>
          <w:rFonts w:hint="eastAsia"/>
          <w:b w:val="0"/>
          <w:bCs/>
          <w:color w:val="000000"/>
          <w:highlight w:val="none"/>
        </w:rPr>
      </w:pPr>
      <w:r>
        <w:rPr>
          <w:rFonts w:hint="eastAsia"/>
          <w:b w:val="0"/>
          <w:bCs/>
          <w:color w:val="000000"/>
          <w:highlight w:val="none"/>
        </w:rPr>
        <w:t xml:space="preserve">2.1 合同总金额：人民币（大写）________________________（¥__________元），本合同为固定总价合同，无其他结算币种。</w:t>
      </w:r>
      <w:r/>
    </w:p>
    <w:p>
      <w:pPr>
        <w:ind w:firstLine="422"/>
        <w:spacing w:line="500" w:lineRule="exact"/>
        <w:rPr>
          <w:rFonts w:hint="eastAsia"/>
          <w:b w:val="0"/>
          <w:bCs/>
          <w:color w:val="000000"/>
          <w:highlight w:val="none"/>
        </w:rPr>
      </w:pPr>
      <w:r>
        <w:rPr>
          <w:rFonts w:hint="eastAsia"/>
          <w:b w:val="0"/>
          <w:bCs/>
          <w:color w:val="000000"/>
          <w:highlight w:val="none"/>
        </w:rPr>
        <w:t xml:space="preserve">2.2 本合同总价包含项目全部服务内容对应的所有费用，涵盖人工劳务、现场作业、设备除尘检修、故障排查维修、拆装调试、系统对接调试、备品备件采购储备及更换、仓储运输、登高作业、交通差旅、安全防护、现场管理、技术培训、检测校验、资料整理、验收配合、税费规费、应急保障、售后质保、风险兜底等一切相关费用。合同履行期间，甲方无需向乙方另行支付任何其他费用。</w:t>
      </w:r>
      <w:r/>
    </w:p>
    <w:p>
      <w:pPr>
        <w:ind w:firstLine="422"/>
        <w:spacing w:line="500" w:lineRule="exact"/>
        <w:rPr>
          <w:rFonts w:hint="eastAsia" w:ascii="宋体" w:hAnsi="宋体" w:cs="宋体"/>
          <w:b/>
          <w:bCs/>
          <w:sz w:val="24"/>
          <w:highlight w:val="none"/>
        </w:rPr>
      </w:pPr>
      <w:r>
        <w:rPr>
          <w:rFonts w:hint="eastAsia"/>
          <w:b/>
          <w:color w:val="000000"/>
          <w:highlight w:val="none"/>
        </w:rPr>
        <w:t xml:space="preserve">三、备品备件供应要求</w:t>
      </w:r>
      <w:r>
        <w:rPr>
          <w:rFonts w:hint="eastAsia" w:ascii="宋体" w:hAnsi="宋体" w:cs="宋体"/>
          <w:b/>
          <w:bCs/>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乙方所有备品备件须为原设备品牌正品，型号、规格、技术参数与原有设备完全一致，与现有公安技防系统无缝兼容，替换后不影响设备功能、数据采集、视频传输及平台联动对接。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乙方须按招标文件要求足额储备核心备品备件、各类线缆及配套配件，建立专项库存，保障故障设备可快速替换，杜绝设备长时间离线、业务中断问题。服务期内设备型号、系统版本升级的，乙方须同步动态更新兼容备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所有备品备件提供不低于60个月原厂质保。</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 乙方供货品牌、型号须与投标承诺一致，不得擅自更换替代品牌、低配型号产品。若乙方无法供应承诺品牌备件，甲方可自行采购，产生全部费用由乙方承担；乙方拒不承担的，甲方有权单方终止合同并追偿损失。</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因乙方备品备件质量不达标、型号不兼容、供货不及时导致项目验收不合格、设备故障、业务中断的，由乙方承担全部违约责任及全部损失。</w:t>
      </w:r>
      <w:r/>
    </w:p>
    <w:p>
      <w:pPr>
        <w:pStyle w:val="865"/>
        <w:ind w:firstLine="482"/>
        <w:jc w:val="both"/>
        <w:spacing w:before="120" w:beforeAutospacing="0" w:after="120" w:afterAutospacing="0"/>
        <w:widowControl w:val="off"/>
        <w:rPr>
          <w:rFonts w:hint="eastAsia"/>
          <w:b/>
          <w:bCs/>
          <w:sz w:val="24"/>
          <w:highlight w:val="none"/>
        </w:rPr>
      </w:pPr>
      <w:r>
        <w:rPr>
          <w:rFonts w:hint="eastAsia"/>
          <w:b/>
          <w:color w:val="000000"/>
          <w:highlight w:val="none"/>
        </w:rPr>
        <w:t xml:space="preserve">四、核心技术与维保服务要求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本项目全部技术标准、服务规范严格遵照招标文件第四章采购需求执行，核心服务要求如下：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4.1 日常巡检与预防性维护：每季度完成全部设备全覆盖巡检，建立“一机一档”运维台账；常态化开展设备除尘、镜头清洁、线路及防雷接地检测、系统版本优化升级；每月按时提交《月维保工作报告》，含巡检记录、隐患整改报告、设备运行数据统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4.2 故障响应与维修保障：提供7×24小时全天候故障报修响应服务，严格按照甲方运维考核办法执行到场、修复时效；无法现场修复的，立即启用备用设备替换，保障公安业务不中断。</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4.3 设备在线率保障：灯控路口、区间测速、违停抓拍、市县际卡口设备在线率≥98%；前端感知资产整体在线率≥98%；月度在线率不达标的，乙方须3个工作日内提交整改方案并完成全部整改。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4.4 重大活动专项保障：节假日、重大安保活动前72小时完成所有设备全面排查，活动期间安排专人24小时驻场值守，处置突发故障，保障设备零故障运行。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4.5 技术支持与培训服务：提供7×24小时技术咨询、系统对接、数据调试、平台联动优化服务；服务期内每年开展不少于2次专项运维培训，提供课件及实操指导。</w:t>
      </w:r>
      <w:r/>
    </w:p>
    <w:p>
      <w:pPr>
        <w:pStyle w:val="865"/>
        <w:ind w:firstLine="482"/>
        <w:jc w:val="both"/>
        <w:spacing w:before="120" w:beforeAutospacing="0" w:after="120" w:afterAutospacing="0"/>
        <w:widowControl w:val="off"/>
        <w:rPr>
          <w:rFonts w:hint="eastAsia" w:cs="Times New Roman"/>
          <w:b/>
          <w:color w:val="000000"/>
          <w:highlight w:val="none"/>
        </w:rPr>
      </w:pPr>
      <w:r>
        <w:rPr>
          <w:rFonts w:hint="eastAsia" w:cs="Times New Roman"/>
          <w:b/>
          <w:color w:val="000000"/>
          <w:highlight w:val="none"/>
        </w:rPr>
        <w:t xml:space="preserve">五、本地化服务与团队配置要求 </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 乙方须在东台市设立固定服务场所，配备专属维保团队，保障服务响应时效。</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 服务期内固定配置不少于1名项目负责人、5个维保服务班组、5辆专用维保车辆（含不少于2辆登高车、1辆应急车辆），保障全域、偏远点位故障处置效率。</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5.3 全程安排不少于1名专职驻场工程师，全天候配合甲方开展设备运维、故障处置、日常保障等工作。</w:t>
      </w:r>
      <w:r/>
    </w:p>
    <w:p>
      <w:pPr>
        <w:pStyle w:val="865"/>
        <w:ind w:left="426" w:firstLine="12"/>
        <w:jc w:val="both"/>
        <w:spacing w:before="120" w:beforeAutospacing="0" w:after="120" w:afterAutospacing="0"/>
        <w:rPr>
          <w:rFonts w:hint="eastAsia" w:ascii="宋体" w:hAnsi="宋体" w:eastAsia="宋体" w:cs="宋体"/>
          <w:b/>
          <w:color w:val="000000"/>
          <w:highlight w:val="none"/>
        </w:rPr>
      </w:pPr>
      <w:r>
        <w:rPr>
          <w:rFonts w:hint="eastAsia" w:ascii="宋体" w:hAnsi="宋体" w:eastAsia="宋体" w:cs="宋体"/>
          <w:b/>
          <w:color w:val="000000"/>
          <w:highlight w:val="none"/>
        </w:rPr>
        <w:t xml:space="preserve">六、数据安全与保密要求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乙方须严格遵守公安数据安全、网络安全及保密相关法律法规及规章制度，严禁泄露、篡改、删除、拷贝、传输甲方监控图像、业务数据、设备涉密信息等资料。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乙方所有运维人员必须签订《数据安全保密协议》，未经甲方书面同意，不得将任何涉密资料、设备信息带出服务现场或向第三方泄露、提供。</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 乙方接入公安专网、业务平台须严格遵守公安网络管理规定，严禁违规操作，若因乙方违规操作造成数据泄露、网络安全事故的，乙方承担全部法律责任及经济损失。</w:t>
      </w:r>
      <w:r/>
    </w:p>
    <w:p>
      <w:pPr>
        <w:pStyle w:val="865"/>
        <w:ind w:left="426" w:firstLine="12"/>
        <w:jc w:val="both"/>
        <w:spacing w:before="120" w:beforeAutospacing="0" w:after="120" w:afterAutospacing="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七、专利权与技术变更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乙方保证本项目服务、设备、技术资料不存在知识产权侵权问题，若发生第三方侵权指控，由乙方全权交涉并承担全部法律责任、经济损失，与甲方无关。</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乙方所用专利、专有技术产生的全部费用由乙方自行承担。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合同履行期间，国家技术规范更新、设备技术升级的，乙方须免费同步优化调整，适配最新标准；甲方调整服务内容的，乙方须积极配合，据实核减对应合同价款。</w:t>
      </w:r>
      <w:r/>
    </w:p>
    <w:p>
      <w:pPr>
        <w:pStyle w:val="865"/>
        <w:ind w:left="426" w:firstLine="12"/>
        <w:jc w:val="both"/>
        <w:spacing w:before="120" w:beforeAutospacing="0" w:after="120" w:afterAutospacing="0"/>
        <w:rPr>
          <w:highlight w:val="none"/>
        </w:rPr>
      </w:pPr>
      <w:r>
        <w:rPr>
          <w:rFonts w:hint="eastAsia" w:ascii="宋体" w:hAnsi="宋体" w:eastAsia="宋体" w:cs="宋体"/>
          <w:b/>
          <w:color w:val="000000"/>
          <w:highlight w:val="none"/>
          <w:lang w:val="en-US" w:eastAsia="zh-CN"/>
        </w:rPr>
        <w:t xml:space="preserve">八</w:t>
      </w:r>
      <w:r>
        <w:rPr>
          <w:rFonts w:hint="eastAsia" w:ascii="宋体" w:hAnsi="宋体" w:eastAsia="宋体" w:cs="宋体"/>
          <w:b/>
          <w:color w:val="000000"/>
          <w:highlight w:val="none"/>
        </w:rPr>
        <w:t xml:space="preserve">、履约保证金</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.1乙方交纳</w:t>
      </w:r>
      <w:r>
        <w:rPr>
          <w:rFonts w:hint="eastAsia" w:ascii="宋体" w:hAnsi="宋体" w:eastAsia="宋体" w:cs="宋体"/>
          <w:sz w:val="24"/>
          <w:szCs w:val="24"/>
          <w:highlight w:val="none"/>
          <w:lang w:val="en-US" w:eastAsia="zh-CN"/>
        </w:rPr>
        <w:t xml:space="preserve">人民币 </w:t>
      </w:r>
      <w:r>
        <w:rPr>
          <w:rFonts w:hint="eastAsia" w:ascii="宋体" w:hAnsi="宋体" w:eastAsia="宋体" w:cs="宋体"/>
          <w:sz w:val="24"/>
          <w:szCs w:val="24"/>
          <w:highlight w:val="none"/>
          <w:u w:val="single"/>
          <w:lang w:val="en-US" w:eastAsia="zh-CN"/>
        </w:rPr>
        <w:t xml:space="preserve">中标</w:t>
      </w:r>
      <w:r>
        <w:rPr>
          <w:rFonts w:hint="eastAsia" w:ascii="宋体" w:hAnsi="宋体" w:eastAsia="宋体" w:cs="宋体"/>
          <w:sz w:val="24"/>
          <w:szCs w:val="24"/>
          <w:highlight w:val="none"/>
          <w:u w:val="single"/>
        </w:rPr>
        <w:t xml:space="preserve">价的10%</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作为本合</w:t>
      </w:r>
      <w:r>
        <w:rPr>
          <w:rFonts w:hint="eastAsia" w:ascii="宋体" w:hAnsi="宋体" w:eastAsia="宋体" w:cs="宋体"/>
          <w:sz w:val="24"/>
          <w:szCs w:val="24"/>
          <w:highlight w:val="none"/>
          <w:lang w:val="en-US" w:eastAsia="zh-CN"/>
        </w:rPr>
        <w:t xml:space="preserve">同的履约保证金。由乙方在合同签订时向甲方提交，允许乙方自主选择以支票、汇票、本票或者金融机构、担保机构出具的保函等非现金形式提交履约保证金，保证金服务期结束并移交全部资料后退还（无息）；如发现虚假应标行为，履约保证金不予退还，乙方须承担甲方因此所造成的项目延期及重新招标的损失。</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如以履约保函（保险）形式缴纳履约保证金，乙方可通过政府采购电子履约保函（保险）平台（www.jsdzbh.com）在线申请履约保函（保险）。</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7030a0"/>
          <w:sz w:val="24"/>
          <w:szCs w:val="24"/>
          <w:highlight w:val="none"/>
          <w:lang w:val="en-US" w:eastAsia="zh-CN"/>
        </w:rPr>
        <w:t xml:space="preserve">按《关于在政府采购活动中应用第三方信用报告落实“信易购”应用场景的通知》（东财购[2021]15号）要求，鼓励甲方对第三方信用服务机构依据标准规范评定为AA级及以上的政府采购乙方（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免收。</w:t>
      </w:r>
      <w:r/>
    </w:p>
    <w:p>
      <w:pPr>
        <w:ind w:firstLine="480"/>
        <w:spacing w:line="360" w:lineRule="auto"/>
        <w:rPr>
          <w:rFonts w:ascii="宋体"/>
          <w:color w:val="auto"/>
          <w:sz w:val="24"/>
          <w:highlight w:val="none"/>
        </w:rPr>
      </w:pPr>
      <w:r>
        <w:rPr>
          <w:rFonts w:hint="eastAsia" w:ascii="宋体"/>
          <w:color w:val="auto"/>
          <w:sz w:val="24"/>
          <w:highlight w:val="none"/>
          <w:lang w:val="en-US" w:eastAsia="zh-CN"/>
        </w:rPr>
        <w:t xml:space="preserve">8</w:t>
      </w:r>
      <w:r>
        <w:rPr>
          <w:rFonts w:hint="eastAsia" w:ascii="宋体"/>
          <w:color w:val="auto"/>
          <w:sz w:val="24"/>
          <w:highlight w:val="none"/>
        </w:rPr>
        <w:t xml:space="preserve">.2合同履行结束后，甲方应及时</w:t>
      </w:r>
      <w:r>
        <w:rPr>
          <w:rFonts w:hint="eastAsia" w:ascii="宋体"/>
          <w:color w:val="auto"/>
          <w:sz w:val="24"/>
          <w:highlight w:val="none"/>
          <w:lang w:eastAsia="zh-CN"/>
        </w:rPr>
        <w:t xml:space="preserve">（</w:t>
      </w:r>
      <w:r>
        <w:rPr>
          <w:rFonts w:hint="eastAsia" w:ascii="宋体"/>
          <w:color w:val="auto"/>
          <w:sz w:val="24"/>
          <w:highlight w:val="none"/>
          <w:lang w:val="en-US" w:eastAsia="zh-CN"/>
        </w:rPr>
        <w:t xml:space="preserve">竣工验收合格</w:t>
      </w:r>
      <w:r>
        <w:rPr>
          <w:rFonts w:hint="eastAsia" w:ascii="宋体"/>
          <w:color w:val="auto"/>
          <w:sz w:val="24"/>
          <w:highlight w:val="none"/>
          <w:lang w:eastAsia="zh-CN"/>
        </w:rPr>
        <w:t xml:space="preserve">）</w:t>
      </w:r>
      <w:r>
        <w:rPr>
          <w:rFonts w:hint="eastAsia" w:ascii="宋体"/>
          <w:color w:val="auto"/>
          <w:sz w:val="24"/>
          <w:highlight w:val="none"/>
        </w:rPr>
        <w:t xml:space="preserve">退还交纳的履约保证金。</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.3履约保证金的退还：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.3.1方式：无息退还至</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缴纳履约保证金的账户。如为保函，在到期时自行失效。</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.3.2时间：验收合格且采购人收到发票后30日内。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.3.3条件：按合同要求全部履约完成并经采购人验收合格，且采购人收到中标人出具的发票。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.3.4不予退还情形：</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除不可抗力情况外，</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出现下列情形之一的，其履约保证金，招标人将视情节决定不予退还或部分不予退还。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（1）中标人无正当理由拒绝签订合同的，或者在签订合同时向采购人提出附加条件或者更改合同实质性内容要求的；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（2）中标人不履行与采购人订立的合同的；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（3）中标人所供货物或服务不符合招标文件规定要求的；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（4）中标人采取欺骗、弄虚作假方式投标的或与其它</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串通投标的；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（5）中标人将合同内容转包、违法分包的；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（6）中标人故意捏造事实或伪造证明材料，进行虚假恶意投诉或反映的。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.3.5逾期退还的违约责任：采购人逾期无故未退还履约保证金的，按中国人民银行同期贷款基准利率上浮20%后的利率支付超期资金占用费，但因供应商自身原因导致无法及时退还的除外。</w:t>
      </w:r>
      <w:r/>
    </w:p>
    <w:p>
      <w:pPr>
        <w:pStyle w:val="865"/>
        <w:ind w:firstLine="482"/>
        <w:jc w:val="both"/>
        <w:spacing w:before="145" w:beforeAutospacing="0" w:after="145" w:afterAutospacing="0"/>
        <w:rPr>
          <w:highlight w:val="none"/>
        </w:rPr>
      </w:pPr>
      <w:r>
        <w:rPr>
          <w:rFonts w:hint="eastAsia" w:ascii="宋体" w:hAnsi="宋体" w:eastAsia="宋体" w:cs="宋体"/>
          <w:b/>
          <w:color w:val="000000"/>
          <w:highlight w:val="none"/>
          <w:lang w:val="en-US" w:eastAsia="zh-CN"/>
        </w:rPr>
        <w:t xml:space="preserve">九</w:t>
      </w:r>
      <w:r>
        <w:rPr>
          <w:rFonts w:hint="eastAsia" w:ascii="宋体" w:hAnsi="宋体" w:eastAsia="宋体" w:cs="宋体"/>
          <w:b/>
          <w:color w:val="000000"/>
          <w:highlight w:val="none"/>
        </w:rPr>
        <w:t xml:space="preserve">、合同转包或分包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9.1 本项目为公安专项维保服务，乙方不得转包、不得违法分包。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9.2 一经发现转包、擅自分包行为，甲方有权单方终止合同、扣除履约保证金，追究乙方全部违约责任。</w:t>
      </w:r>
      <w:r/>
    </w:p>
    <w:p>
      <w:pPr>
        <w:pStyle w:val="865"/>
        <w:ind w:firstLine="482"/>
        <w:jc w:val="both"/>
        <w:spacing w:before="120" w:beforeAutospacing="0" w:after="120" w:afterAutospacing="0"/>
        <w:rPr>
          <w:highlight w:val="none"/>
        </w:rPr>
      </w:pPr>
      <w:r>
        <w:rPr>
          <w:rFonts w:hint="eastAsia" w:ascii="宋体" w:hAnsi="宋体" w:eastAsia="宋体" w:cs="宋体"/>
          <w:b/>
          <w:color w:val="000000"/>
          <w:highlight w:val="none"/>
          <w:lang w:val="en-US" w:eastAsia="zh-CN"/>
        </w:rPr>
        <w:t xml:space="preserve">十</w:t>
      </w:r>
      <w:r>
        <w:rPr>
          <w:rFonts w:hint="eastAsia" w:ascii="宋体" w:hAnsi="宋体" w:eastAsia="宋体" w:cs="宋体"/>
          <w:b/>
          <w:color w:val="000000"/>
          <w:highlight w:val="none"/>
        </w:rPr>
        <w:t xml:space="preserve">、合同款项支付</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10.1 本项目款项严格按照季度考核、季度支付方式结算，全程遵照盐城市政府采购营商环境相关政策执行。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10.2 支付流程：每季度末月月底，甲方依据季度维保报告、设备在线率、故障响应及修复率、服务考核记录完成当期服务验收，验收合格后支付当季度对应维保款项。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10.3 发票要求：每期付款前，乙方须向甲方提供等额、合规、有效的正式税务发票，否则甲方有权顺延付款，不承担逾期付款责任。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10.4 本项目所有税费、规费由乙方全额承担，甲方不另行支付任何费用。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10.5 所有合同款项均采用银行转账方式支付。</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10.6 本项目不接受进口产品投标及服务，采购标的所属行业为租赁和商务服务业。</w:t>
      </w:r>
      <w:r/>
    </w:p>
    <w:p>
      <w:pPr>
        <w:pStyle w:val="865"/>
        <w:ind w:firstLine="482"/>
        <w:jc w:val="both"/>
        <w:spacing w:before="145" w:beforeAutospacing="0" w:after="145" w:afterAutospacing="0"/>
        <w:rPr>
          <w:highlight w:val="none"/>
        </w:rPr>
      </w:pPr>
      <w:r>
        <w:rPr>
          <w:rFonts w:hint="eastAsia" w:ascii="宋体" w:hAnsi="宋体" w:eastAsia="宋体" w:cs="宋体"/>
          <w:b/>
          <w:color w:val="000000"/>
          <w:highlight w:val="none"/>
          <w:lang w:val="en-US" w:eastAsia="zh-CN"/>
        </w:rPr>
        <w:t xml:space="preserve">十一</w:t>
      </w:r>
      <w:r>
        <w:rPr>
          <w:rFonts w:hint="eastAsia" w:ascii="宋体" w:hAnsi="宋体" w:eastAsia="宋体" w:cs="宋体"/>
          <w:b/>
          <w:color w:val="000000"/>
          <w:highlight w:val="none"/>
        </w:rPr>
        <w:t xml:space="preserve">、税费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本合同履行过程中产生的全部增值税、附加税费、规费等各类费用，均由乙方全额承担。</w:t>
      </w:r>
      <w:r/>
    </w:p>
    <w:p>
      <w:pPr>
        <w:pStyle w:val="865"/>
        <w:ind w:left="426" w:firstLine="10"/>
        <w:jc w:val="both"/>
        <w:spacing w:before="120" w:beforeAutospacing="0" w:after="120" w:afterAutospacing="0"/>
        <w:rPr>
          <w:rFonts w:hint="eastAsia"/>
          <w:b/>
          <w:bCs/>
          <w:highlight w:val="none"/>
        </w:rPr>
      </w:pPr>
      <w:r>
        <w:rPr>
          <w:rFonts w:hint="eastAsia"/>
          <w:b/>
          <w:bCs/>
          <w:highlight w:val="none"/>
        </w:rPr>
        <w:t xml:space="preserve">十二、质保与售后服务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12.1 服务期内，乙方严格履行本合同及招标文件约定的全部维保、应急、保障、培训义务，确保各项考核指标达标：故障响应及时率100%、故障修复及时率100%、维保报告提交率100%、各类设备在线率≥98%。</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 服务期内乙方须全程响应甲方应急需求，无条件配合公安实战、专项检查、应急处置等工作。</w:t>
      </w:r>
      <w:r/>
    </w:p>
    <w:p>
      <w:pPr>
        <w:pStyle w:val="865"/>
        <w:ind w:left="426" w:firstLine="10"/>
        <w:jc w:val="both"/>
        <w:spacing w:before="120" w:beforeAutospacing="0" w:after="120" w:afterAutospacing="0"/>
        <w:rPr>
          <w:rFonts w:hint="eastAsia" w:cs="Times New Roman"/>
          <w:b/>
          <w:bCs/>
          <w:highlight w:val="none"/>
        </w:rPr>
      </w:pPr>
      <w:r>
        <w:rPr>
          <w:rFonts w:hint="eastAsia" w:cs="Times New Roman"/>
          <w:b/>
          <w:bCs/>
          <w:highlight w:val="none"/>
        </w:rPr>
        <w:t xml:space="preserve">十三、项目验收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月度验收：甲方依据月度维保报告、设备在线率数据、故障处理台账、服务记录开展月度考核验收，作为季度付款依据。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季度验收：甲方结合当季度日常服务、隐患整改、设备运行、应急保障情况开展季度综合验收，验收合格后方可支付季度款项。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年度验收：服务期满后，乙方提交《年度维保总结报告》，甲方结合全年考核数据、故障记录、整改情况、服务成效开展整体竣工验收，验收合格后完成项目最终结算及履约保证金退还。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验收标准严格遵照招标文件、本合同约定及《东台市公安局视频监控技术设备运维考核办法》执行，软硬件设备、服务质量全部达标、资料齐全、系统运行稳定即为验收合格。</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13.5 验收不合格的，乙方须限期整改，整改产生的全部费用自行承担，逾期未整改或整改不合格的，甲方有权扣减服务费、终止合同并追责。</w:t>
      </w:r>
      <w:r/>
    </w:p>
    <w:p>
      <w:pPr>
        <w:pStyle w:val="865"/>
        <w:ind w:firstLine="482"/>
        <w:jc w:val="both"/>
        <w:spacing w:before="120" w:beforeAutospacing="0" w:after="120" w:afterAutospacing="0"/>
        <w:rPr>
          <w:rFonts w:hint="eastAsia" w:ascii="宋体" w:hAnsi="宋体" w:eastAsia="宋体" w:cs="宋体"/>
          <w:b/>
          <w:color w:val="000000"/>
          <w:highlight w:val="none"/>
        </w:rPr>
      </w:pPr>
      <w:r>
        <w:rPr>
          <w:rFonts w:hint="eastAsia" w:ascii="宋体" w:hAnsi="宋体" w:eastAsia="宋体" w:cs="宋体"/>
          <w:b/>
          <w:color w:val="000000"/>
          <w:highlight w:val="none"/>
        </w:rPr>
        <w:t xml:space="preserve">十四、货物包装、运输与交付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乙方备品备件包装须符合国家政府采购包装标准，满足防潮、防震、防锈、防破损要求，保障货物安全送达现场。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货物随附合格证、说明书、装箱单、配件清单等全套资料，交付时双方现场清点核验、签字确认。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货物交付甲方前的运输、破损、丢失等全部风险由乙方承担。</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十五、违约责任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甲方无正当理由拒收合格服务、无故逾期付款的，按对应款项相关规定承担违约责任。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乙方服务不达标、备件不合格、在线率不达标、未按时提交维保报告的，甲方有权扣除当期对应服务费用；月度考核不合格的，乙方须限期整改。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因乙方维保不到位、处置不及时，导致重大安保活动出现设备故障、影响公安业务开展的，甲方有权单方终止合同、扣除履约保证金，并追究乙方全部经济及法律责任。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 乙方逾期整改、逾期处置故障、擅自更换备件品牌型号、转包分包、泄露涉密数据的，甲方有权扣减服务费、终止合同，乙方须赔偿甲方全部损失。</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15.5 具体扣费及违约细则遵照《东台市公安局视频监控技术设备运维考核办法》执行。</w:t>
      </w:r>
      <w:r/>
    </w:p>
    <w:p>
      <w:pPr>
        <w:pStyle w:val="865"/>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十</w:t>
      </w:r>
      <w:r>
        <w:rPr>
          <w:rFonts w:hint="eastAsia" w:ascii="宋体" w:hAnsi="宋体" w:eastAsia="宋体" w:cs="宋体"/>
          <w:b/>
          <w:color w:val="000000"/>
          <w:highlight w:val="none"/>
          <w:lang w:val="en-US" w:eastAsia="zh-CN"/>
        </w:rPr>
        <w:t xml:space="preserve">六</w:t>
      </w:r>
      <w:r>
        <w:rPr>
          <w:rFonts w:hint="eastAsia" w:ascii="宋体" w:hAnsi="宋体" w:eastAsia="宋体" w:cs="宋体"/>
          <w:b/>
          <w:color w:val="000000"/>
          <w:highlight w:val="none"/>
        </w:rPr>
        <w:t xml:space="preserve">、不可抗力事件处理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不可抗力事件发生后，应立即通知对方，并寄送有关权威机构出具的证明。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不可抗力事件延续120天以上，双方应通过友好协商，确定是否继续履行合同。</w:t>
      </w:r>
      <w:r/>
    </w:p>
    <w:p>
      <w:pPr>
        <w:pStyle w:val="865"/>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十</w:t>
      </w:r>
      <w:r>
        <w:rPr>
          <w:rFonts w:hint="eastAsia" w:ascii="宋体" w:hAnsi="宋体" w:eastAsia="宋体" w:cs="宋体"/>
          <w:b/>
          <w:color w:val="000000"/>
          <w:highlight w:val="none"/>
          <w:lang w:val="en-US" w:eastAsia="zh-CN"/>
        </w:rPr>
        <w:t xml:space="preserve">七</w:t>
      </w:r>
      <w:r>
        <w:rPr>
          <w:rFonts w:hint="eastAsia" w:ascii="宋体" w:hAnsi="宋体" w:eastAsia="宋体" w:cs="宋体"/>
          <w:b/>
          <w:color w:val="000000"/>
          <w:highlight w:val="none"/>
        </w:rPr>
        <w:t xml:space="preserve">、争议解决方法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本合同履行过程中发生的一切争议，双方优先友好协商解决；协商不成的，提交甲方住所地人民法院诉讼解决。</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十八、合同生效及其他</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本合同自甲乙双方法定代表人或授权代表签字并加盖公章之日起生效。</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 本合同未尽事宜，遵照《中华人民共和国民法典》《中华人民共和国政府采购法》及本项目招标文件、投标文件相关约定执行，招标文件、投标文件为本合同有效组成部分，与本合同具有同等法律效力。</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本项目不接受进口产品投标及服务，中小企业划分行业为租赁和商务服务业。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 本合同正本一式陆份，甲方、乙方各执一份，其余份数用于财政、归档等相关单位留存，各份具有同等法律效力。</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           乙方（盖章）：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地址：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       法定代表人或授权代表：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联系电话：             联系电话：       </w:t>
      </w:r>
      <w:r>
        <w:rPr>
          <w:rFonts w:hint="eastAsia" w:ascii="宋体" w:hAnsi="宋体" w:eastAsia="宋体" w:cs="宋体"/>
          <w:color w:val="000000"/>
          <w:sz w:val="24"/>
          <w:szCs w:val="24"/>
          <w:highlight w:val="none"/>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年    月   日</w:t>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Lines w:val="0"/>
        <w:keepNext w:val="0"/>
        <w:pageBreakBefore w:val="0"/>
        <w:spacing w:before="120" w:beforeAutospacing="0" w:after="120" w:afterAutospacing="0" w:line="500" w:lineRule="exact"/>
        <w:widowControl w:val="off"/>
        <w:rPr>
          <w:highlight w:val="none"/>
        </w:rPr>
      </w:pPr>
      <w:r>
        <w:rPr>
          <w:rFonts w:hint="eastAsia" w:ascii="黑体" w:hAnsi="宋体" w:eastAsia="黑体" w:cs="黑体"/>
          <w:color w:val="000000"/>
          <w:sz w:val="44"/>
          <w:szCs w:val="44"/>
          <w:highlight w:val="none"/>
        </w:rPr>
        <w:t xml:space="preserve">第</w:t>
      </w:r>
      <w:bookmarkEnd w:id="174"/>
      <w:r>
        <w:rPr>
          <w:rFonts w:hint="eastAsia" w:ascii="黑体" w:hAnsi="宋体" w:eastAsia="黑体" w:cs="黑体"/>
          <w:color w:val="000000"/>
          <w:sz w:val="44"/>
          <w:szCs w:val="44"/>
          <w:highlight w:val="none"/>
        </w:rPr>
        <w:t xml:space="preserve">四章 采购需求</w:t>
      </w:r>
      <w:bookmarkEnd w:id="175"/>
      <w:r/>
      <w:bookmarkEnd w:id="176"/>
      <w:r/>
      <w:bookmarkEnd w:id="177"/>
      <w:r/>
      <w:bookmarkEnd w:id="178"/>
      <w:r/>
      <w:bookmarkEnd w:id="179"/>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bookmarkStart w:id="181" w:name="_Toc26554093"/>
      <w:r/>
      <w:bookmarkStart w:id="182" w:name="_Toc49090575"/>
      <w:r>
        <w:rPr>
          <w:rFonts w:hint="eastAsia" w:ascii="宋体" w:hAnsi="宋体" w:eastAsia="宋体" w:cs="宋体"/>
          <w:color w:val="000000"/>
          <w:sz w:val="24"/>
          <w:szCs w:val="24"/>
          <w:highlight w:val="none"/>
        </w:rPr>
        <w:t xml:space="preserve">项目属性:服务类项目。</w:t>
      </w:r>
      <w:bookmarkEnd w:id="181"/>
      <w:r/>
      <w:bookmarkEnd w:id="182"/>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856"/>
        <w:ind w:firstLine="480"/>
        <w:jc w:val="both"/>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一、项目背景与概况</w:t>
      </w:r>
      <w:r/>
    </w:p>
    <w:p>
      <w:pPr>
        <w:pStyle w:val="856"/>
        <w:ind w:firstLine="480"/>
        <w:jc w:val="both"/>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项目背景</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为保障东台市公安交通管控、治安防控等技防设施持续稳定运行，支撑公安实战业务开展，采购人拟对辖区内公安技防设施提供全周期运维保障服务，确保设备在线率、数据传输稳定性满足实战要求。</w:t>
      </w:r>
      <w:r/>
    </w:p>
    <w:p>
      <w:pPr>
        <w:pStyle w:val="856"/>
        <w:ind w:firstLine="480"/>
        <w:jc w:val="both"/>
        <w:spacing w:beforeAutospacing="0" w:afterAutospacing="0" w:line="0" w:lineRule="atLeas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项目概况</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rPr>
      </w:pPr>
      <w:r>
        <w:rPr>
          <w:rFonts w:ascii="宋体" w:hAnsi="宋体" w:eastAsia="宋体" w:cs="宋体"/>
          <w:sz w:val="24"/>
          <w:szCs w:val="24"/>
        </w:rPr>
        <w:t xml:space="preserve">本项目服务范围涵盖东台市公安现有灯控路口、区间测速、违停抓拍、市县际卡口及前端感知资产等技防设施，提供设备巡检、故障维修、备品备件、技术支持、重大活动保障等全流程维保服务。</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二、维保服务范围及内容</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（一）维保服务清单</w:t>
      </w:r>
      <w:r/>
    </w:p>
    <w:tbl>
      <w:tblPr>
        <w:tblStyle w:val="857"/>
        <w:tblW w:w="852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347"/>
        <w:gridCol w:w="1827"/>
        <w:gridCol w:w="2565"/>
        <w:gridCol w:w="1977"/>
      </w:tblGrid>
      <w:tr>
        <w:trPr>
          <w:trHeight w:val="569"/>
          <w:tblHeader/>
        </w:trPr>
        <w:tc>
          <w:tcPr>
            <w:tcW w:w="807" w:type="dxa"/>
            <w:vAlign w:val="center"/>
            <w:textDirection w:val="lrTb"/>
            <w:noWrap w:val="false"/>
          </w:tcPr>
          <w:p>
            <w:pPr>
              <w:ind w:left="0" w:right="0" w:firstLine="0"/>
              <w:jc w:val="center"/>
              <w:rPr>
                <w:rFonts w:hint="eastAsia" w:ascii="Calibri" w:eastAsia="宋体"/>
                <w:b/>
                <w:sz w:val="21"/>
                <w:highlight w:val="none"/>
                <w:vertAlign w:val="baseline"/>
                <w:lang w:val="en-US" w:eastAsia="zh-CN"/>
              </w:rPr>
            </w:pPr>
            <w:r>
              <w:rPr>
                <w:rFonts w:hint="eastAsia" w:ascii="Calibri" w:eastAsia="宋体"/>
                <w:b/>
                <w:sz w:val="21"/>
                <w:highlight w:val="none"/>
                <w:vertAlign w:val="baseline"/>
                <w:lang w:val="en-US" w:eastAsia="zh-CN"/>
              </w:rPr>
              <w:t xml:space="preserve">序号</w:t>
            </w:r>
            <w:r/>
          </w:p>
        </w:tc>
        <w:tc>
          <w:tcPr>
            <w:tcW w:w="1347" w:type="dxa"/>
            <w:vAlign w:val="center"/>
            <w:textDirection w:val="lrTb"/>
            <w:noWrap w:val="false"/>
          </w:tcPr>
          <w:p>
            <w:pPr>
              <w:ind w:left="0" w:right="0" w:firstLine="0"/>
              <w:jc w:val="center"/>
              <w:rPr>
                <w:rFonts w:hint="eastAsia" w:ascii="Calibri" w:eastAsia="宋体"/>
                <w:b/>
                <w:sz w:val="21"/>
                <w:highlight w:val="none"/>
                <w:vertAlign w:val="baseline"/>
                <w:lang w:val="en-US" w:eastAsia="zh-CN"/>
              </w:rPr>
            </w:pPr>
            <w:r>
              <w:rPr>
                <w:rFonts w:hint="eastAsia" w:ascii="Calibri" w:eastAsia="宋体"/>
                <w:b/>
                <w:sz w:val="21"/>
                <w:highlight w:val="none"/>
                <w:vertAlign w:val="baseline"/>
                <w:lang w:val="en-US" w:eastAsia="zh-CN"/>
              </w:rPr>
              <w:t xml:space="preserve">分类</w:t>
            </w:r>
            <w:r/>
          </w:p>
        </w:tc>
        <w:tc>
          <w:tcPr>
            <w:tcW w:w="1827" w:type="dxa"/>
            <w:vAlign w:val="center"/>
            <w:textDirection w:val="lrTb"/>
            <w:noWrap w:val="false"/>
          </w:tcPr>
          <w:p>
            <w:pPr>
              <w:ind w:left="0" w:right="0" w:firstLine="0"/>
              <w:jc w:val="center"/>
              <w:rPr>
                <w:rFonts w:hint="default" w:ascii="Calibri" w:eastAsia="宋体"/>
                <w:b/>
                <w:sz w:val="21"/>
                <w:highlight w:val="none"/>
                <w:vertAlign w:val="baseline"/>
                <w:lang w:val="en-US" w:eastAsia="zh-CN"/>
              </w:rPr>
            </w:pPr>
            <w:r>
              <w:rPr>
                <w:rFonts w:hint="eastAsia" w:ascii="Calibri" w:eastAsia="宋体"/>
                <w:b/>
                <w:sz w:val="21"/>
                <w:highlight w:val="none"/>
                <w:vertAlign w:val="baseline"/>
                <w:lang w:val="en-US" w:eastAsia="zh-CN"/>
              </w:rPr>
              <w:t xml:space="preserve">分项名称</w:t>
            </w:r>
            <w:r/>
          </w:p>
        </w:tc>
        <w:tc>
          <w:tcPr>
            <w:tcW w:w="2565" w:type="dxa"/>
            <w:vAlign w:val="center"/>
            <w:textDirection w:val="lrTb"/>
            <w:noWrap w:val="false"/>
          </w:tcPr>
          <w:p>
            <w:pPr>
              <w:ind w:left="0" w:right="0" w:firstLine="0"/>
              <w:jc w:val="center"/>
              <w:rPr>
                <w:rFonts w:hint="eastAsia" w:ascii="Calibri" w:eastAsia="宋体"/>
                <w:b/>
                <w:sz w:val="21"/>
                <w:highlight w:val="none"/>
                <w:vertAlign w:val="baseline"/>
              </w:rPr>
            </w:pPr>
            <w:r>
              <w:rPr>
                <w:rFonts w:ascii="Calibri" w:hAnsi="宋体" w:eastAsia="宋体" w:cs="宋体"/>
                <w:b/>
                <w:sz w:val="21"/>
                <w:szCs w:val="24"/>
                <w:highlight w:val="none"/>
              </w:rPr>
              <w:t xml:space="preserve">数量</w:t>
            </w:r>
            <w:r>
              <w:rPr>
                <w:rFonts w:hint="eastAsia" w:ascii="Calibri" w:hAnsi="宋体" w:eastAsia="宋体" w:cs="宋体"/>
                <w:b/>
                <w:sz w:val="21"/>
                <w:szCs w:val="24"/>
                <w:highlight w:val="none"/>
                <w:lang w:val="en-US" w:eastAsia="zh-CN"/>
              </w:rPr>
              <w:t xml:space="preserve">/</w:t>
            </w:r>
            <w:r>
              <w:rPr>
                <w:rFonts w:ascii="Calibri" w:hAnsi="宋体" w:eastAsia="宋体" w:cs="宋体"/>
                <w:b/>
                <w:sz w:val="21"/>
                <w:szCs w:val="24"/>
                <w:highlight w:val="none"/>
              </w:rPr>
              <w:t xml:space="preserve">要求</w:t>
            </w:r>
            <w:r/>
          </w:p>
        </w:tc>
        <w:tc>
          <w:tcPr>
            <w:tcW w:w="1977" w:type="dxa"/>
            <w:vAlign w:val="center"/>
            <w:textDirection w:val="lrTb"/>
            <w:noWrap w:val="false"/>
          </w:tcPr>
          <w:p>
            <w:pPr>
              <w:ind w:left="0" w:right="0" w:firstLine="0"/>
              <w:jc w:val="center"/>
              <w:rPr>
                <w:rFonts w:hint="eastAsia" w:ascii="Calibri" w:eastAsia="宋体"/>
                <w:b/>
                <w:sz w:val="21"/>
                <w:highlight w:val="none"/>
                <w:vertAlign w:val="baseline"/>
              </w:rPr>
            </w:pPr>
            <w:r>
              <w:rPr>
                <w:rFonts w:hint="eastAsia" w:ascii="Calibri" w:eastAsia="宋体"/>
                <w:b/>
                <w:sz w:val="21"/>
                <w:highlight w:val="none"/>
                <w:vertAlign w:val="baseline"/>
                <w:lang w:val="en-US" w:eastAsia="zh-CN"/>
              </w:rPr>
              <w:t xml:space="preserve">备注</w:t>
            </w:r>
            <w:r/>
          </w:p>
        </w:tc>
      </w:tr>
      <w:tr>
        <w:trPr>
          <w:trHeight w:val="0"/>
        </w:trPr>
        <w:tc>
          <w:tcPr>
            <w:tcW w:w="807" w:type="dxa"/>
            <w:vAlign w:val="center"/>
            <w:textDirection w:val="lrTb"/>
            <w:noWrap w:val="false"/>
          </w:tcPr>
          <w:p>
            <w:pPr>
              <w:ind w:left="0" w:right="0" w:firstLine="0"/>
              <w:jc w:val="center"/>
              <w:rPr>
                <w:rFonts w:hint="eastAsia"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1</w:t>
            </w:r>
            <w:r/>
          </w:p>
        </w:tc>
        <w:tc>
          <w:tcPr>
            <w:tcW w:w="1347" w:type="dxa"/>
            <w:vAlign w:val="center"/>
            <w:vMerge w:val="restart"/>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维保部分</w:t>
            </w:r>
            <w:r/>
          </w:p>
        </w:tc>
        <w:tc>
          <w:tcPr>
            <w:tcW w:w="1827" w:type="dxa"/>
            <w:vAlign w:val="center"/>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灯控路口</w:t>
            </w:r>
            <w:r/>
          </w:p>
        </w:tc>
        <w:tc>
          <w:tcPr>
            <w:tcW w:w="2565"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125 个点位</w:t>
            </w:r>
            <w:r/>
          </w:p>
        </w:tc>
        <w:tc>
          <w:tcPr>
            <w:tcW w:w="1977"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含信号控制机、配套设备</w:t>
            </w:r>
            <w:r/>
          </w:p>
        </w:tc>
      </w:tr>
      <w:tr>
        <w:trPr>
          <w:trHeight w:val="0"/>
        </w:trPr>
        <w:tc>
          <w:tcPr>
            <w:tcW w:w="807" w:type="dxa"/>
            <w:vAlign w:val="center"/>
            <w:textDirection w:val="lrTb"/>
            <w:noWrap w:val="false"/>
          </w:tcPr>
          <w:p>
            <w:pPr>
              <w:ind w:left="0" w:right="0" w:firstLine="0"/>
              <w:jc w:val="center"/>
              <w:rPr>
                <w:rFonts w:hint="eastAsia"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2</w:t>
            </w:r>
            <w:r/>
          </w:p>
        </w:tc>
        <w:tc>
          <w:tcPr>
            <w:tcW w:w="1347" w:type="dxa"/>
            <w:vAlign w:val="center"/>
            <w:vMerge w:val="continue"/>
            <w:textDirection w:val="lrTb"/>
            <w:noWrap w:val="false"/>
          </w:tcPr>
          <w:p>
            <w:pPr>
              <w:ind w:left="0" w:right="0" w:firstLine="0"/>
              <w:jc w:val="center"/>
              <w:rPr>
                <w:rFonts w:hint="eastAsia" w:ascii="宋体" w:eastAsia="宋体"/>
                <w:sz w:val="24"/>
                <w:highlight w:val="none"/>
                <w:vertAlign w:val="baseline"/>
              </w:rPr>
            </w:pPr>
            <w:r>
              <w:rPr>
                <w:rFonts w:hint="eastAsia" w:ascii="宋体" w:eastAsia="宋体"/>
                <w:sz w:val="24"/>
                <w:highlight w:val="none"/>
                <w:vertAlign w:val="baseline"/>
              </w:rPr>
            </w:r>
            <w:r/>
          </w:p>
        </w:tc>
        <w:tc>
          <w:tcPr>
            <w:tcW w:w="1827" w:type="dxa"/>
            <w:vAlign w:val="center"/>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区间测速</w:t>
            </w:r>
            <w:r/>
          </w:p>
        </w:tc>
        <w:tc>
          <w:tcPr>
            <w:tcW w:w="2565"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27 套设备</w:t>
            </w:r>
            <w:r/>
          </w:p>
        </w:tc>
        <w:tc>
          <w:tcPr>
            <w:tcW w:w="1977"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含测速主机、抓拍单元</w:t>
            </w:r>
            <w:r/>
          </w:p>
        </w:tc>
      </w:tr>
      <w:tr>
        <w:trPr>
          <w:trHeight w:val="0"/>
        </w:trPr>
        <w:tc>
          <w:tcPr>
            <w:tcW w:w="807" w:type="dxa"/>
            <w:vAlign w:val="center"/>
            <w:textDirection w:val="lrTb"/>
            <w:noWrap w:val="false"/>
          </w:tcPr>
          <w:p>
            <w:pPr>
              <w:ind w:left="0" w:right="0" w:firstLine="0"/>
              <w:jc w:val="center"/>
              <w:rPr>
                <w:rFonts w:hint="eastAsia"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3</w:t>
            </w:r>
            <w:r/>
          </w:p>
        </w:tc>
        <w:tc>
          <w:tcPr>
            <w:tcW w:w="1347" w:type="dxa"/>
            <w:vAlign w:val="center"/>
            <w:vMerge w:val="continue"/>
            <w:textDirection w:val="lrTb"/>
            <w:noWrap w:val="false"/>
          </w:tcPr>
          <w:p>
            <w:pPr>
              <w:ind w:left="0" w:right="0" w:firstLine="0"/>
              <w:jc w:val="center"/>
              <w:rPr>
                <w:rFonts w:hint="eastAsia" w:ascii="宋体" w:eastAsia="宋体"/>
                <w:sz w:val="24"/>
                <w:highlight w:val="none"/>
                <w:vertAlign w:val="baseline"/>
              </w:rPr>
            </w:pPr>
            <w:r>
              <w:rPr>
                <w:rFonts w:hint="eastAsia" w:ascii="宋体" w:eastAsia="宋体"/>
                <w:sz w:val="24"/>
                <w:highlight w:val="none"/>
                <w:vertAlign w:val="baseline"/>
              </w:rPr>
            </w:r>
            <w:r/>
          </w:p>
        </w:tc>
        <w:tc>
          <w:tcPr>
            <w:tcW w:w="1827" w:type="dxa"/>
            <w:vAlign w:val="center"/>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违停抓拍</w:t>
            </w:r>
            <w:r/>
          </w:p>
        </w:tc>
        <w:tc>
          <w:tcPr>
            <w:tcW w:w="2565"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75 套设备</w:t>
            </w:r>
            <w:r/>
          </w:p>
        </w:tc>
        <w:tc>
          <w:tcPr>
            <w:tcW w:w="1977"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含抓拍相机、补光设备</w:t>
            </w:r>
            <w:r/>
          </w:p>
        </w:tc>
      </w:tr>
      <w:tr>
        <w:trPr>
          <w:trHeight w:val="0"/>
        </w:trPr>
        <w:tc>
          <w:tcPr>
            <w:tcW w:w="807" w:type="dxa"/>
            <w:vAlign w:val="center"/>
            <w:textDirection w:val="lrTb"/>
            <w:noWrap w:val="false"/>
          </w:tcPr>
          <w:p>
            <w:pPr>
              <w:ind w:left="0" w:right="0" w:firstLine="0"/>
              <w:jc w:val="center"/>
              <w:rPr>
                <w:rFonts w:hint="eastAsia"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4</w:t>
            </w:r>
            <w:r/>
          </w:p>
        </w:tc>
        <w:tc>
          <w:tcPr>
            <w:tcW w:w="1347" w:type="dxa"/>
            <w:vAlign w:val="center"/>
            <w:vMerge w:val="continue"/>
            <w:textDirection w:val="lrTb"/>
            <w:noWrap w:val="false"/>
          </w:tcPr>
          <w:p>
            <w:pPr>
              <w:ind w:left="0" w:right="0" w:firstLine="0"/>
              <w:jc w:val="center"/>
              <w:rPr>
                <w:rFonts w:hint="eastAsia" w:ascii="宋体" w:eastAsia="宋体"/>
                <w:sz w:val="24"/>
                <w:highlight w:val="none"/>
                <w:vertAlign w:val="baseline"/>
              </w:rPr>
            </w:pPr>
            <w:r>
              <w:rPr>
                <w:rFonts w:hint="eastAsia" w:ascii="宋体" w:eastAsia="宋体"/>
                <w:sz w:val="24"/>
                <w:highlight w:val="none"/>
                <w:vertAlign w:val="baseline"/>
              </w:rPr>
            </w:r>
            <w:r/>
          </w:p>
        </w:tc>
        <w:tc>
          <w:tcPr>
            <w:tcW w:w="1827" w:type="dxa"/>
            <w:vAlign w:val="center"/>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市县际卡口</w:t>
            </w:r>
            <w:r/>
          </w:p>
        </w:tc>
        <w:tc>
          <w:tcPr>
            <w:tcW w:w="2565"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23 个点位</w:t>
            </w:r>
            <w:r/>
          </w:p>
        </w:tc>
        <w:tc>
          <w:tcPr>
            <w:tcW w:w="1977"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含卡口抓拍设备、终端设备</w:t>
            </w:r>
            <w:r/>
          </w:p>
        </w:tc>
      </w:tr>
      <w:tr>
        <w:trPr>
          <w:trHeight w:val="0"/>
        </w:trPr>
        <w:tc>
          <w:tcPr>
            <w:tcW w:w="807" w:type="dxa"/>
            <w:vAlign w:val="center"/>
            <w:textDirection w:val="lrTb"/>
            <w:noWrap w:val="false"/>
          </w:tcPr>
          <w:p>
            <w:pPr>
              <w:ind w:left="0" w:right="0" w:firstLine="0"/>
              <w:jc w:val="center"/>
              <w:rPr>
                <w:rFonts w:hint="eastAsia"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5</w:t>
            </w:r>
            <w:r/>
          </w:p>
        </w:tc>
        <w:tc>
          <w:tcPr>
            <w:tcW w:w="1347" w:type="dxa"/>
            <w:vAlign w:val="center"/>
            <w:vMerge w:val="continue"/>
            <w:textDirection w:val="lrTb"/>
            <w:noWrap w:val="false"/>
          </w:tcPr>
          <w:p>
            <w:pPr>
              <w:ind w:left="0" w:right="0" w:firstLine="0"/>
              <w:jc w:val="center"/>
              <w:rPr>
                <w:rFonts w:hint="eastAsia" w:ascii="宋体" w:eastAsia="宋体"/>
                <w:sz w:val="24"/>
                <w:highlight w:val="none"/>
                <w:vertAlign w:val="baseline"/>
              </w:rPr>
            </w:pPr>
            <w:r>
              <w:rPr>
                <w:rFonts w:hint="eastAsia" w:ascii="宋体" w:eastAsia="宋体"/>
                <w:sz w:val="24"/>
                <w:highlight w:val="none"/>
                <w:vertAlign w:val="baseline"/>
              </w:rPr>
            </w:r>
            <w:r/>
          </w:p>
        </w:tc>
        <w:tc>
          <w:tcPr>
            <w:tcW w:w="1827" w:type="dxa"/>
            <w:vAlign w:val="center"/>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前端感知资产</w:t>
            </w:r>
            <w:r/>
          </w:p>
        </w:tc>
        <w:tc>
          <w:tcPr>
            <w:tcW w:w="2565"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8080 路设备（含视频监控、采集终端等）</w:t>
            </w:r>
            <w:r/>
          </w:p>
        </w:tc>
        <w:tc>
          <w:tcPr>
            <w:tcW w:w="1977"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含视频监控、数据采集终端等</w:t>
            </w:r>
            <w:r/>
          </w:p>
        </w:tc>
      </w:tr>
      <w:tr>
        <w:trPr>
          <w:trHeight w:val="0"/>
        </w:trPr>
        <w:tc>
          <w:tcPr>
            <w:tcW w:w="807" w:type="dxa"/>
            <w:vAlign w:val="center"/>
            <w:textDirection w:val="lrTb"/>
            <w:noWrap w:val="false"/>
          </w:tcPr>
          <w:p>
            <w:pPr>
              <w:ind w:left="0" w:right="0" w:firstLine="0"/>
              <w:jc w:val="center"/>
              <w:rPr>
                <w:rFonts w:hint="eastAsia"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6</w:t>
            </w:r>
            <w:r/>
          </w:p>
        </w:tc>
        <w:tc>
          <w:tcPr>
            <w:tcW w:w="1347" w:type="dxa"/>
            <w:vAlign w:val="center"/>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备品备件</w:t>
            </w:r>
            <w:r/>
          </w:p>
        </w:tc>
        <w:tc>
          <w:tcPr>
            <w:tcW w:w="1827" w:type="dxa"/>
            <w:vAlign w:val="center"/>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备品备件</w:t>
            </w:r>
            <w:r/>
          </w:p>
        </w:tc>
        <w:tc>
          <w:tcPr>
            <w:tcW w:w="2565"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满足采购人实际使用需求，设备需与原系统兼容，备件需为原品牌正品</w:t>
            </w:r>
            <w:r/>
          </w:p>
        </w:tc>
        <w:tc>
          <w:tcPr>
            <w:tcW w:w="1977"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设备需与原系统兼容，备件为原品牌正品</w:t>
            </w:r>
            <w:r/>
          </w:p>
        </w:tc>
      </w:tr>
    </w:tbl>
    <w:p>
      <w:pPr>
        <w:pStyle w:val="856"/>
        <w:numPr>
          <w:ilvl w:val="0"/>
          <w:numId w:val="0"/>
        </w:numPr>
        <w:ind w:firstLine="480"/>
        <w:jc w:val="both"/>
        <w:spacing w:beforeAutospacing="0" w:afterAutospacing="0" w:line="0" w:lineRule="atLeast"/>
        <w:rPr>
          <w:rFonts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（二）</w:t>
      </w:r>
      <w:r>
        <w:rPr>
          <w:rFonts w:ascii="宋体" w:hAnsi="宋体" w:eastAsia="宋体" w:cs="宋体"/>
          <w:sz w:val="24"/>
          <w:szCs w:val="24"/>
          <w:highlight w:val="none"/>
        </w:rPr>
        <w:t xml:space="preserve">核心维保服务内容</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1.日常巡检与预防性维护</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1.1每季度对所有设备开展不少于 1 次全覆盖巡检，建立设备“一机一档” 运维台账，记录设备运行状态、隐患排查情况；</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1.2定期开展设备除尘、镜头清洁、线路检测、防雷接地检测、系统版本优化升级，提前消除设备故障隐患；</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1.3每月向采购人提交《月维保工作报告》，附巡检记录、隐患整改报告、设备运行数据统计。</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2.故障响应与维修保障</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2.1提供 7×24 小时故障报修响应服务，接到故障工单派发后在规定时间内到达现场；</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2.2故障修复时效：修复时限及要求参见东台市公安局视频监控技术设备运维考核办法，无法现场修复的需提供备用设备替换，确保业务不中断。</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3.设备在线率保障要求</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3.1灯控路口、区间测速、违停抓拍、市县际卡口设备在线率≥98%；</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3.2前端感知资产整体在线率≥98%；</w:t>
      </w:r>
      <w:r/>
    </w:p>
    <w:p>
      <w:pPr>
        <w:pStyle w:val="856"/>
        <w:ind w:firstLine="480"/>
        <w:jc w:val="both"/>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3.3月度设备在线率不达标时，需在3个工作日内提交整改方案并完成整改。</w:t>
      </w:r>
      <w:r/>
    </w:p>
    <w:p>
      <w:pPr>
        <w:pStyle w:val="856"/>
        <w:ind w:firstLine="482"/>
        <w:jc w:val="both"/>
        <w:spacing w:beforeAutospacing="0" w:afterAutospacing="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4.重大活动与专项保障</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4.1在节假日、重大安保活动期间，提供专项驻场保障服务，提前72小时完成所有设备全面排查，安排专人24小时值守；</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4.2配合采购人完成重大活动期间设备应急保障、数据传输优化、突发故障处置等工作，确保设备零故障运行。</w:t>
      </w:r>
      <w:r/>
    </w:p>
    <w:p>
      <w:pPr>
        <w:pStyle w:val="856"/>
        <w:ind w:firstLine="482"/>
        <w:jc w:val="both"/>
        <w:spacing w:beforeAutospacing="0" w:afterAutospacing="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5.技术支持与培训服务</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5.1提供 7×24 小时技术咨询服务，配合采购人完成系统对接、数据调试、业务优化、平台联动等工作；</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5.2服务期内每年不少于2次对采购人业务人员开展设备运维、故障排查、基础操作等专项培训，提供培训课件与实操指导。</w:t>
      </w:r>
      <w:r/>
    </w:p>
    <w:p>
      <w:pPr>
        <w:pStyle w:val="856"/>
        <w:ind w:firstLine="482"/>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三、备品备件服务要求</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1.兼容性与品牌要求：所有备品备件需为原设备品牌正品，型号、规格、技术参数与原设备一致，与现有系统无缝兼容，替换后不影响设备功能、数据采集及平台对接。</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库存保障要求：中标供应商需根据本项目设备型号、数量，配备充足的核心备品备件（满屏信号灯20套、箭头信号灯20套、人行横道灯12套、1200W电警2套、900W电警4套、900W卡口6套、400W双目球机11套、违停球5套、400W结构化8套、频闪灯12套、四合一闪光灯16套、倒计时12套、广域雷达6套、前端存</w:t>
      </w:r>
      <w:r>
        <w:rPr>
          <w:rFonts w:hint="eastAsia" w:ascii="宋体" w:hAnsi="宋体" w:eastAsia="宋体" w:cs="宋体"/>
          <w:color w:val="000000"/>
          <w:sz w:val="24"/>
          <w:szCs w:val="24"/>
          <w:highlight w:val="none"/>
          <w:lang w:val="en-US" w:eastAsia="zh-CN"/>
        </w:rPr>
        <w:t xml:space="preserve">储设备-常规路口6套、信号机配件-主控板12套、信号机配件-核心板12套、信号机配件-灯驱板12套、信号机配件-电源单元16套、信号机配件-优化板12套、倒计时信号输出控制板12套、行人闯红灯信息发布盒子2套、4光8电交换机12套、信号控制主机12套等；缆线电源线 RVV14×2.5mm²-1项、电源线 3*6mm²-1项、电源线 3*2.5mm²-1项、电源线 3*1.0mm²-1项、通讯线 RVSP4×0.5mm²-1项、网线室外超六类线-1项等），确保故障设备无法短时间修复时，可快速替换备件恢复运行。</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3.动态更新要求：备品备件库存需动态更新，维保期内若设备型号、系统版本升级，中标供应商需同步更新对应兼容备件，不得因备件型号不匹配影响设备维保。</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4.质保要求：提供的备品备件需提供原厂质保，质保期限不低于60个月。</w:t>
      </w:r>
      <w:r/>
    </w:p>
    <w:p>
      <w:pPr>
        <w:pStyle w:val="856"/>
        <w:ind w:firstLine="482"/>
        <w:jc w:val="both"/>
        <w:spacing w:beforeAutospacing="0" w:afterAutospacing="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四、本地化服务与团队配置要求</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1.本地化服务能力：中标供应商需在东台市本地设有固定服务场所，配备专属维保服务团队，确保服务响应时效；</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团队配置要求：服务期内配备不少于1名项目负责人负责统筹项目维保工作，5个服务班组实时接收派发工单并在规定时间内修复；配备不少于5辆专用维保车辆，保障偏远点位故障处置时效，其中登高车不少于2辆，应急车辆不少于1辆；</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3.驻场服务要求：需安排不少于1名专职驻场工程师，按采购人要求在指定地点维保期内全程配合采购人开展设备保障工作。</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五、服务质量考核与违约处理</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ascii="宋体" w:hAnsi="宋体" w:eastAsia="宋体" w:cs="宋体"/>
          <w:sz w:val="24"/>
          <w:szCs w:val="24"/>
        </w:rPr>
        <w:t xml:space="preserve">（一）考核指标</w:t>
      </w:r>
      <w:r/>
    </w:p>
    <w:tbl>
      <w:tblPr>
        <w:tblStyle w:val="847"/>
        <w:tblW w:w="8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884"/>
        <w:gridCol w:w="6611"/>
      </w:tblGrid>
      <w:tr>
        <w:trPr>
          <w:jc w:val="center"/>
          <w:trHeight w:val="0"/>
          <w:tblHeader/>
        </w:trPr>
        <w:tc>
          <w:tcPr>
            <w:shd w:val="clear" w:color="auto" w:fill="auto"/>
            <w:tcMar>
              <w:left w:w="96" w:type="dxa"/>
              <w:top w:w="96" w:type="dxa"/>
              <w:right w:w="96" w:type="dxa"/>
              <w:bottom w:w="96" w:type="dxa"/>
            </w:tcMar>
            <w:tcW w:w="0" w:type="auto"/>
            <w:vAlign w:val="center"/>
            <w:textDirection w:val="lrTb"/>
            <w:noWrap w:val="false"/>
          </w:tcPr>
          <w:p>
            <w:pPr>
              <w:ind w:left="0" w:right="0" w:firstLine="0"/>
              <w:jc w:val="center"/>
              <w:keepLines w:val="0"/>
              <w:keepNext w:val="0"/>
              <w:widowControl/>
              <w:rPr>
                <w:rFonts w:ascii="宋体" w:eastAsia="宋体"/>
                <w:b/>
                <w:bCs/>
                <w:sz w:val="24"/>
              </w:rPr>
              <w:suppressLineNumbers w:val="0"/>
            </w:pPr>
            <w:r>
              <w:rPr>
                <w:rFonts w:ascii="宋体" w:hAnsi="宋体" w:eastAsia="宋体" w:cs="宋体"/>
                <w:b/>
                <w:bCs/>
                <w:sz w:val="24"/>
                <w:szCs w:val="24"/>
                <w:lang w:val="en-US" w:eastAsia="zh-CN" w:bidi="ar"/>
              </w:rPr>
              <w:t xml:space="preserve">考核项目</w:t>
            </w:r>
            <w:r/>
          </w:p>
        </w:tc>
        <w:tc>
          <w:tcPr>
            <w:shd w:val="clear" w:color="auto" w:fill="auto"/>
            <w:tcMar>
              <w:left w:w="96" w:type="dxa"/>
              <w:top w:w="96" w:type="dxa"/>
              <w:right w:w="96" w:type="dxa"/>
              <w:bottom w:w="96" w:type="dxa"/>
            </w:tcMar>
            <w:tcW w:w="6611" w:type="dxa"/>
            <w:vAlign w:val="center"/>
            <w:textDirection w:val="lrTb"/>
            <w:noWrap w:val="false"/>
          </w:tcPr>
          <w:p>
            <w:pPr>
              <w:ind w:left="0" w:right="0" w:firstLine="0"/>
              <w:jc w:val="center"/>
              <w:keepLines w:val="0"/>
              <w:keepNext w:val="0"/>
              <w:widowControl/>
              <w:rPr>
                <w:rFonts w:ascii="宋体" w:eastAsia="宋体"/>
                <w:b/>
                <w:bCs/>
                <w:sz w:val="24"/>
              </w:rPr>
              <w:suppressLineNumbers w:val="0"/>
            </w:pPr>
            <w:r>
              <w:rPr>
                <w:rFonts w:ascii="宋体" w:hAnsi="宋体" w:eastAsia="宋体" w:cs="宋体"/>
                <w:b/>
                <w:bCs/>
                <w:sz w:val="24"/>
                <w:szCs w:val="24"/>
                <w:lang w:val="en-US" w:eastAsia="zh-CN" w:bidi="ar"/>
              </w:rPr>
              <w:t xml:space="preserve">考核标准</w:t>
            </w:r>
            <w:r/>
          </w:p>
        </w:tc>
      </w:tr>
      <w:tr>
        <w:trPr>
          <w:jc w:val="center"/>
          <w:trHeight w:val="0"/>
        </w:trPr>
        <w:tc>
          <w:tcPr>
            <w:shd w:val="clear" w:color="auto" w:fill="auto"/>
            <w:tcMar>
              <w:left w:w="96" w:type="dxa"/>
              <w:top w:w="96" w:type="dxa"/>
              <w:right w:w="96" w:type="dxa"/>
              <w:bottom w:w="96" w:type="dxa"/>
            </w:tcMar>
            <w:tcW w:w="0" w:type="auto"/>
            <w:vAlign w:val="center"/>
            <w:textDirection w:val="lrTb"/>
            <w:noWrap w:val="false"/>
          </w:tcPr>
          <w:p>
            <w:pPr>
              <w:ind w:left="0" w:right="0" w:firstLine="0"/>
              <w:jc w:val="center"/>
              <w:keepLines w:val="0"/>
              <w:keepNext w:val="0"/>
              <w:widowControl/>
              <w:rPr>
                <w:rFonts w:ascii="宋体" w:eastAsia="宋体"/>
                <w:sz w:val="24"/>
              </w:rPr>
              <w:suppressLineNumbers w:val="0"/>
            </w:pPr>
            <w:r>
              <w:rPr>
                <w:rFonts w:ascii="宋体" w:hAnsi="宋体" w:eastAsia="宋体" w:cs="宋体"/>
                <w:sz w:val="24"/>
                <w:szCs w:val="24"/>
                <w:lang w:val="en-US" w:eastAsia="zh-CN" w:bidi="ar"/>
              </w:rPr>
              <w:t xml:space="preserve">故障响应及时率</w:t>
            </w:r>
            <w:r/>
          </w:p>
        </w:tc>
        <w:tc>
          <w:tcPr>
            <w:shd w:val="clear" w:color="auto" w:fill="auto"/>
            <w:tcMar>
              <w:left w:w="96" w:type="dxa"/>
              <w:top w:w="96" w:type="dxa"/>
              <w:right w:w="96" w:type="dxa"/>
              <w:bottom w:w="96" w:type="dxa"/>
            </w:tcMar>
            <w:tcW w:w="6611" w:type="dxa"/>
            <w:vAlign w:val="center"/>
            <w:textDirection w:val="lrTb"/>
            <w:noWrap w:val="false"/>
          </w:tcPr>
          <w:p>
            <w:pPr>
              <w:ind w:left="0" w:right="0" w:firstLine="0"/>
              <w:jc w:val="center"/>
              <w:keepLines w:val="0"/>
              <w:keepNext w:val="0"/>
              <w:widowControl/>
              <w:rPr>
                <w:rFonts w:ascii="宋体" w:eastAsia="宋体"/>
                <w:sz w:val="24"/>
              </w:rPr>
              <w:suppressLineNumbers w:val="0"/>
            </w:pPr>
            <w:r>
              <w:rPr>
                <w:rFonts w:ascii="宋体" w:hAnsi="宋体" w:eastAsia="宋体" w:cs="宋体"/>
                <w:sz w:val="24"/>
                <w:szCs w:val="24"/>
                <w:lang w:val="en-US" w:eastAsia="zh-CN" w:bidi="ar"/>
              </w:rPr>
              <w:t xml:space="preserve">100%</w:t>
            </w:r>
            <w:r/>
          </w:p>
        </w:tc>
      </w:tr>
      <w:tr>
        <w:trPr>
          <w:jc w:val="center"/>
          <w:trHeight w:val="0"/>
        </w:trPr>
        <w:tc>
          <w:tcPr>
            <w:shd w:val="clear" w:color="auto" w:fill="auto"/>
            <w:tcMar>
              <w:left w:w="96" w:type="dxa"/>
              <w:top w:w="96" w:type="dxa"/>
              <w:right w:w="96" w:type="dxa"/>
              <w:bottom w:w="96" w:type="dxa"/>
            </w:tcMar>
            <w:tcW w:w="0" w:type="auto"/>
            <w:vAlign w:val="center"/>
            <w:textDirection w:val="lrTb"/>
            <w:noWrap w:val="false"/>
          </w:tcPr>
          <w:p>
            <w:pPr>
              <w:ind w:left="0" w:right="0" w:firstLine="0"/>
              <w:jc w:val="center"/>
              <w:keepLines w:val="0"/>
              <w:keepNext w:val="0"/>
              <w:widowControl/>
              <w:rPr>
                <w:rFonts w:ascii="宋体" w:eastAsia="宋体"/>
                <w:sz w:val="24"/>
              </w:rPr>
              <w:suppressLineNumbers w:val="0"/>
            </w:pPr>
            <w:r>
              <w:rPr>
                <w:rFonts w:ascii="宋体" w:hAnsi="宋体" w:eastAsia="宋体" w:cs="宋体"/>
                <w:sz w:val="24"/>
                <w:szCs w:val="24"/>
                <w:lang w:val="en-US" w:eastAsia="zh-CN" w:bidi="ar"/>
              </w:rPr>
              <w:t xml:space="preserve">故障修复及时率</w:t>
            </w:r>
            <w:r/>
          </w:p>
        </w:tc>
        <w:tc>
          <w:tcPr>
            <w:shd w:val="clear" w:color="auto" w:fill="auto"/>
            <w:tcMar>
              <w:left w:w="96" w:type="dxa"/>
              <w:top w:w="96" w:type="dxa"/>
              <w:right w:w="96" w:type="dxa"/>
              <w:bottom w:w="96" w:type="dxa"/>
            </w:tcMar>
            <w:tcW w:w="6611" w:type="dxa"/>
            <w:vAlign w:val="center"/>
            <w:textDirection w:val="lrTb"/>
            <w:noWrap w:val="false"/>
          </w:tcPr>
          <w:p>
            <w:pPr>
              <w:ind w:left="0" w:right="0" w:firstLine="0"/>
              <w:jc w:val="center"/>
              <w:keepLines w:val="0"/>
              <w:keepNext w:val="0"/>
              <w:widowControl/>
              <w:rPr>
                <w:rFonts w:hint="default" w:ascii="宋体" w:eastAsia="宋体"/>
                <w:sz w:val="24"/>
                <w:lang w:val="en-US"/>
              </w:rPr>
              <w:suppressLineNumbers w:val="0"/>
            </w:pPr>
            <w:r>
              <w:rPr>
                <w:rFonts w:hint="eastAsia" w:ascii="宋体" w:hAnsi="宋体" w:eastAsia="宋体" w:cs="宋体"/>
                <w:sz w:val="24"/>
                <w:szCs w:val="24"/>
                <w:lang w:val="en-US" w:eastAsia="zh-CN" w:bidi="ar"/>
              </w:rPr>
              <w:t xml:space="preserve">100%</w:t>
            </w:r>
            <w:r/>
          </w:p>
        </w:tc>
      </w:tr>
      <w:tr>
        <w:trPr>
          <w:jc w:val="center"/>
          <w:trHeight w:val="0"/>
        </w:trPr>
        <w:tc>
          <w:tcPr>
            <w:shd w:val="clear" w:color="auto" w:fill="auto"/>
            <w:tcMar>
              <w:left w:w="96" w:type="dxa"/>
              <w:top w:w="96" w:type="dxa"/>
              <w:right w:w="96" w:type="dxa"/>
              <w:bottom w:w="96" w:type="dxa"/>
            </w:tcMar>
            <w:tcW w:w="0" w:type="auto"/>
            <w:vAlign w:val="center"/>
            <w:textDirection w:val="lrTb"/>
            <w:noWrap w:val="false"/>
          </w:tcPr>
          <w:p>
            <w:pPr>
              <w:ind w:left="0" w:right="0" w:firstLine="0"/>
              <w:jc w:val="center"/>
              <w:keepLines w:val="0"/>
              <w:keepNext w:val="0"/>
              <w:widowControl/>
              <w:rPr>
                <w:rFonts w:ascii="宋体" w:eastAsia="宋体"/>
                <w:sz w:val="24"/>
              </w:rPr>
              <w:suppressLineNumbers w:val="0"/>
            </w:pPr>
            <w:r>
              <w:rPr>
                <w:rFonts w:ascii="宋体" w:hAnsi="宋体" w:eastAsia="宋体" w:cs="宋体"/>
                <w:sz w:val="24"/>
                <w:szCs w:val="24"/>
                <w:lang w:val="en-US" w:eastAsia="zh-CN" w:bidi="ar"/>
              </w:rPr>
              <w:t xml:space="preserve">设备在线率</w:t>
            </w:r>
            <w:r/>
          </w:p>
        </w:tc>
        <w:tc>
          <w:tcPr>
            <w:shd w:val="clear" w:color="auto" w:fill="auto"/>
            <w:tcMar>
              <w:left w:w="96" w:type="dxa"/>
              <w:top w:w="96" w:type="dxa"/>
              <w:right w:w="96" w:type="dxa"/>
              <w:bottom w:w="96" w:type="dxa"/>
            </w:tcMar>
            <w:tcW w:w="6611" w:type="dxa"/>
            <w:vAlign w:val="center"/>
            <w:textDirection w:val="lrTb"/>
            <w:noWrap w:val="false"/>
          </w:tcPr>
          <w:p>
            <w:pPr>
              <w:ind w:left="0" w:right="0" w:firstLine="0"/>
              <w:jc w:val="center"/>
              <w:keepLines w:val="0"/>
              <w:keepNext w:val="0"/>
              <w:widowControl/>
              <w:rPr>
                <w:rFonts w:ascii="宋体" w:eastAsia="宋体"/>
                <w:sz w:val="24"/>
              </w:rPr>
              <w:suppressLineNumbers w:val="0"/>
            </w:pPr>
            <w:r>
              <w:rPr>
                <w:rFonts w:ascii="宋体" w:hAnsi="宋体" w:eastAsia="宋体" w:cs="宋体"/>
                <w:sz w:val="24"/>
                <w:szCs w:val="24"/>
                <w:lang w:val="en-US" w:eastAsia="zh-CN" w:bidi="ar"/>
              </w:rPr>
              <w:t xml:space="preserve">卡口 / 测速 / 违停 / 灯控路口≥9</w:t>
            </w:r>
            <w:r>
              <w:rPr>
                <w:rFonts w:hint="eastAsia" w:ascii="宋体" w:hAnsi="宋体" w:eastAsia="宋体" w:cs="宋体"/>
                <w:sz w:val="24"/>
                <w:szCs w:val="24"/>
                <w:lang w:val="en-US" w:eastAsia="zh-CN" w:bidi="ar"/>
              </w:rPr>
              <w:t xml:space="preserve">8</w:t>
            </w:r>
            <w:r>
              <w:rPr>
                <w:rFonts w:ascii="宋体" w:hAnsi="宋体" w:eastAsia="宋体" w:cs="宋体"/>
                <w:sz w:val="24"/>
                <w:szCs w:val="24"/>
                <w:lang w:val="en-US" w:eastAsia="zh-CN" w:bidi="ar"/>
              </w:rPr>
              <w:t xml:space="preserve">%，前端感知资产≥98%</w:t>
            </w:r>
            <w:r/>
          </w:p>
        </w:tc>
      </w:tr>
      <w:tr>
        <w:trPr>
          <w:jc w:val="center"/>
          <w:trHeight w:val="0"/>
        </w:trPr>
        <w:tc>
          <w:tcPr>
            <w:shd w:val="clear" w:color="auto" w:fill="auto"/>
            <w:tcMar>
              <w:left w:w="96" w:type="dxa"/>
              <w:top w:w="96" w:type="dxa"/>
              <w:right w:w="96" w:type="dxa"/>
              <w:bottom w:w="96" w:type="dxa"/>
            </w:tcMar>
            <w:tcW w:w="1884" w:type="dxa"/>
            <w:vAlign w:val="center"/>
            <w:textDirection w:val="lrTb"/>
            <w:noWrap w:val="false"/>
          </w:tcPr>
          <w:p>
            <w:pPr>
              <w:ind w:left="0" w:right="0" w:firstLine="0"/>
              <w:jc w:val="center"/>
              <w:keepLines w:val="0"/>
              <w:keepNext w:val="0"/>
              <w:widowControl/>
              <w:rPr>
                <w:rFonts w:ascii="宋体" w:eastAsia="宋体"/>
                <w:sz w:val="24"/>
              </w:rPr>
              <w:suppressLineNumbers w:val="0"/>
            </w:pPr>
            <w:r>
              <w:rPr>
                <w:rFonts w:ascii="宋体" w:hAnsi="宋体" w:eastAsia="宋体" w:cs="宋体"/>
                <w:sz w:val="24"/>
                <w:szCs w:val="24"/>
                <w:lang w:val="en-US" w:eastAsia="zh-CN" w:bidi="ar"/>
              </w:rPr>
              <w:t xml:space="preserve">维保报告提交率</w:t>
            </w:r>
            <w:r/>
          </w:p>
        </w:tc>
        <w:tc>
          <w:tcPr>
            <w:shd w:val="clear" w:color="auto" w:fill="auto"/>
            <w:tcMar>
              <w:left w:w="96" w:type="dxa"/>
              <w:top w:w="96" w:type="dxa"/>
              <w:right w:w="96" w:type="dxa"/>
              <w:bottom w:w="96" w:type="dxa"/>
            </w:tcMar>
            <w:tcW w:w="6611" w:type="dxa"/>
            <w:vAlign w:val="center"/>
            <w:textDirection w:val="lrTb"/>
            <w:noWrap w:val="false"/>
          </w:tcPr>
          <w:p>
            <w:pPr>
              <w:ind w:left="0" w:right="0" w:firstLine="0"/>
              <w:jc w:val="center"/>
              <w:keepLines w:val="0"/>
              <w:keepNext w:val="0"/>
              <w:widowControl/>
              <w:rPr>
                <w:rFonts w:ascii="宋体" w:eastAsia="宋体"/>
                <w:sz w:val="24"/>
              </w:rPr>
              <w:suppressLineNumbers w:val="0"/>
            </w:pPr>
            <w:r>
              <w:rPr>
                <w:rFonts w:ascii="宋体" w:hAnsi="宋体" w:eastAsia="宋体" w:cs="宋体"/>
                <w:sz w:val="24"/>
                <w:szCs w:val="24"/>
                <w:lang w:val="en-US" w:eastAsia="zh-CN" w:bidi="ar"/>
              </w:rPr>
              <w:t xml:space="preserve">100%（月度报告按时提交，内容完整）</w:t>
            </w:r>
            <w:r/>
          </w:p>
        </w:tc>
      </w:tr>
    </w:tbl>
    <w:p>
      <w:pPr>
        <w:pStyle w:val="856"/>
        <w:ind w:firstLine="480"/>
        <w:jc w:val="both"/>
        <w:spacing w:beforeAutospacing="0" w:afterAutospacing="0"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（二）违约处理</w:t>
      </w:r>
      <w:r/>
    </w:p>
    <w:p>
      <w:pPr>
        <w:pStyle w:val="856"/>
        <w:ind w:firstLine="480"/>
        <w:jc w:val="both"/>
        <w:spacing w:beforeAutospacing="0" w:afterAutospacing="0"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1.月度设备在线率不达标或未按要求提交维保报告，采购人有权扣除当月相应的服务费用；</w:t>
      </w:r>
      <w:r/>
    </w:p>
    <w:p>
      <w:pPr>
        <w:pStyle w:val="856"/>
        <w:ind w:firstLine="48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2.因维保服务不到位导致重大安保活动期间设备故障，影响业务开展的，采</w:t>
      </w:r>
      <w:r>
        <w:rPr>
          <w:rFonts w:hint="eastAsia" w:ascii="宋体" w:hAnsi="宋体" w:eastAsia="宋体" w:cs="宋体"/>
          <w:sz w:val="24"/>
          <w:szCs w:val="24"/>
          <w:highlight w:val="none"/>
          <w:lang w:val="en-US" w:eastAsia="zh-CN"/>
        </w:rPr>
        <w:t xml:space="preserve">购人有权终止合同，并追究中标供应商违约责任；</w:t>
      </w:r>
      <w:r/>
    </w:p>
    <w:p>
      <w:pPr>
        <w:pStyle w:val="856"/>
        <w:ind w:firstLine="480"/>
        <w:jc w:val="both"/>
        <w:spacing w:beforeAutospacing="0" w:afterAutospacing="0" w:line="0"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3.具体扣费标准参见东台市公安局视频监控技术设备运维考核办法。</w:t>
      </w:r>
      <w:r/>
    </w:p>
    <w:p>
      <w:pPr>
        <w:pStyle w:val="856"/>
        <w:ind w:firstLine="48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六、数据安全与保密要求</w:t>
      </w:r>
      <w:r/>
    </w:p>
    <w:p>
      <w:pPr>
        <w:pStyle w:val="856"/>
        <w:ind w:firstLine="480"/>
        <w:jc w:val="both"/>
        <w:spacing w:beforeAutospacing="0" w:afterAutospacing="0"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1.中标供应商需严格遵守公安数据安全、保密相关规定，服务过程中不得泄露、篡改、删除采购人的业务数据、监控图像、设备信息等涉密内容；</w:t>
      </w:r>
      <w:r/>
    </w:p>
    <w:p>
      <w:pPr>
        <w:pStyle w:val="856"/>
        <w:ind w:firstLine="480"/>
        <w:jc w:val="both"/>
        <w:spacing w:beforeAutospacing="0" w:afterAutospacing="0"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2.运维工程师需签订《数据安全保密协议》，未经采购人书面同意，不得将设备信息、数据资料带出服务现场或向第三方提供；</w:t>
      </w:r>
      <w:r/>
    </w:p>
    <w:p>
      <w:pPr>
        <w:pStyle w:val="856"/>
        <w:ind w:firstLine="480"/>
        <w:jc w:val="both"/>
        <w:spacing w:beforeAutospacing="0" w:afterAutospacing="0"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3.服务过程中如需接入公安专网、平台系统，需遵守公安网络安全管理规定，不得私自拷贝、传输涉密数据。</w:t>
      </w:r>
      <w:r/>
    </w:p>
    <w:p>
      <w:pPr>
        <w:pStyle w:val="856"/>
        <w:ind w:firstLine="480"/>
        <w:jc w:val="both"/>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七、商务要求</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p>
    <w:p>
      <w:pPr>
        <w:pStyle w:val="856"/>
        <w:ind w:firstLine="480"/>
        <w:jc w:val="both"/>
        <w:spacing w:beforeAutospacing="0" w:afterAutospacing="0"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1.1服务期限：自合同签订之日起1年，维保期间保证设备正常稳定运行；</w:t>
      </w:r>
      <w:r/>
    </w:p>
    <w:p>
      <w:pPr>
        <w:pStyle w:val="856"/>
        <w:ind w:firstLine="480"/>
        <w:jc w:val="both"/>
        <w:spacing w:beforeAutospacing="0" w:afterAutospacing="0"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1.2乙方在维保期间时，备品备件物资的品牌型号必须与原设备保持一致，必须保证品牌正宗，原始包装并附有合格证、产品安装使用说明书等相关资料。</w:t>
      </w:r>
      <w:r/>
    </w:p>
    <w:p>
      <w:pPr>
        <w:pStyle w:val="856"/>
        <w:numPr>
          <w:ilvl w:val="0"/>
          <w:numId w:val="0"/>
        </w:numPr>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lang w:val="en-US" w:eastAsia="zh-CN"/>
        </w:rPr>
        <w:t xml:space="preserve">履约地点：东台市境内（采购人指定地点）</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3.验收标准：</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3.1月度验收：依据月度维保报告、设备在线率数据、故障处理记录，对当月服务质量进行验收；</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3.2年度验收：服务期满后，中标供应商提交《年度维保总结报告》，采购人结合全年设备运行数据、考核记录、故障处理情况进行整体验收，验收合格后方可完成项目结算。</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4.付款方式：</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4.1合同款项的支付方式及进度安排</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预付款支付时间：合同签订后采购人收到预付款发票后10个工作日内支付预付款，预付款支付比例：合同金额的30%。（根据《盐城市财政局关于进一步优化政府采购营商环境的通知》要求，预付款不低于30%）；注：在签订合同时，供应商明确表示无需预付款或主动要求降低预付款比例的，采购人可不适用上述关于预付款方规定或可就预付款比例作相应调整。</w:t>
      </w:r>
      <w:r/>
    </w:p>
    <w:p>
      <w:pPr>
        <w:pStyle w:val="856"/>
        <w:ind w:firstLine="480"/>
        <w:jc w:val="both"/>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w:t>
      </w:r>
      <w:r>
        <w:rPr>
          <w:rFonts w:hint="eastAsia" w:ascii="宋体" w:hAnsi="宋体" w:eastAsia="宋体" w:cs="宋体"/>
          <w:b/>
          <w:bCs/>
          <w:color w:val="000000"/>
          <w:sz w:val="24"/>
          <w:szCs w:val="24"/>
          <w:highlight w:val="none"/>
          <w:lang w:val="en-US" w:eastAsia="zh-CN"/>
        </w:rPr>
        <w:t xml:space="preserve"> 季度进度款</w:t>
      </w:r>
      <w:r>
        <w:rPr>
          <w:rFonts w:hint="eastAsia" w:ascii="宋体" w:hAnsi="宋体" w:eastAsia="宋体" w:cs="宋体"/>
          <w:color w:val="000000"/>
          <w:sz w:val="24"/>
          <w:szCs w:val="24"/>
          <w:highlight w:val="none"/>
          <w:lang w:val="en-US" w:eastAsia="zh-CN"/>
        </w:rPr>
        <w:t xml:space="preserve">：本项目维保费用按季度结算，于每季度末月月底完成当期维保服务考核验收合格后，支付当季度对应维保款项。</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4.1.3发票及税费要求：每期款项结算支付前，乙方须按采购人要求提供本单位合规、有效、等额正式税务发票；本合同履行期间所产生的全部税费、规费等，均由乙方全额承担，采购人不另行支付。</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4.1.4支付方式：所有款项统一采用银行转账方式支付。</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lang w:val="en-US" w:eastAsia="zh-CN"/>
        </w:rPr>
        <w:t xml:space="preserve">八</w:t>
      </w:r>
      <w:r>
        <w:rPr>
          <w:rFonts w:hint="eastAsia" w:ascii="宋体" w:hAnsi="宋体" w:eastAsia="宋体" w:cs="宋体"/>
          <w:color w:val="000000"/>
          <w:sz w:val="24"/>
          <w:szCs w:val="24"/>
          <w:highlight w:val="none"/>
          <w:lang w:val="en-US" w:eastAsia="zh-CN"/>
        </w:rPr>
        <w:t xml:space="preserve">、演示要求</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eastAsia="宋体" w:cs="宋体"/>
          <w:color w:val="auto"/>
          <w:highlight w:val="none"/>
        </w:rPr>
        <w:t xml:space="preserve">在演示过程中如若出现无法打开，识别，格式错误等情况导致无法进行评审打分的，责任由投标人承担，演示视频超出规定时间的视为不响应，不得分。</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（2）演示内容如下：</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b/>
          <w:bCs/>
          <w:color w:val="000000"/>
          <w:sz w:val="24"/>
          <w:szCs w:val="24"/>
          <w:highlight w:val="none"/>
          <w:lang w:val="en-US" w:eastAsia="zh-CN"/>
        </w:rPr>
        <w:t xml:space="preserve">链路总览：</w:t>
      </w:r>
      <w:r>
        <w:rPr>
          <w:rFonts w:hint="eastAsia" w:ascii="宋体" w:hAnsi="宋体" w:eastAsia="宋体" w:cs="宋体"/>
          <w:color w:val="000000"/>
          <w:sz w:val="24"/>
          <w:szCs w:val="24"/>
          <w:highlight w:val="none"/>
          <w:lang w:val="en-US" w:eastAsia="zh-CN"/>
        </w:rPr>
        <w:t xml:space="preserve">系统支持统计维保链路数量、链路属性、所属运营商等相关统计信息。</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b/>
          <w:bCs/>
          <w:color w:val="000000"/>
          <w:sz w:val="24"/>
          <w:szCs w:val="24"/>
          <w:highlight w:val="none"/>
          <w:lang w:val="en-US" w:eastAsia="zh-CN"/>
        </w:rPr>
        <w:t xml:space="preserve">故障分析：</w:t>
      </w:r>
      <w:r>
        <w:rPr>
          <w:rFonts w:hint="eastAsia" w:ascii="宋体" w:hAnsi="宋体" w:eastAsia="宋体" w:cs="宋体"/>
          <w:color w:val="000000"/>
          <w:sz w:val="24"/>
          <w:szCs w:val="24"/>
          <w:highlight w:val="none"/>
          <w:lang w:val="en-US" w:eastAsia="zh-CN"/>
        </w:rPr>
        <w:t xml:space="preserve">系统支持对链路故障原因进行分析并统计。</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b/>
          <w:bCs/>
          <w:color w:val="000000"/>
          <w:sz w:val="24"/>
          <w:szCs w:val="24"/>
          <w:highlight w:val="none"/>
          <w:lang w:val="en-US" w:eastAsia="zh-CN"/>
        </w:rPr>
        <w:t xml:space="preserve">工单统计：</w:t>
      </w:r>
      <w:r>
        <w:rPr>
          <w:rFonts w:hint="eastAsia" w:ascii="宋体" w:hAnsi="宋体" w:eastAsia="宋体" w:cs="宋体"/>
          <w:color w:val="000000"/>
          <w:sz w:val="24"/>
          <w:szCs w:val="24"/>
          <w:highlight w:val="none"/>
          <w:lang w:val="en-US" w:eastAsia="zh-CN"/>
        </w:rPr>
        <w:t xml:space="preserve">系统支持对链路故障工单状态进行统计（包括维修中、已完成、超时）。</w:t>
      </w:r>
      <w:r/>
    </w:p>
    <w:p>
      <w:pPr>
        <w:pStyle w:val="856"/>
        <w:ind w:firstLine="480"/>
        <w:jc w:val="both"/>
        <w:spacing w:beforeAutospacing="0" w:afterAutospacing="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11、本项目</w:t>
      </w:r>
      <w:r>
        <w:rPr>
          <w:rFonts w:hint="eastAsia" w:ascii="宋体" w:hAnsi="宋体" w:eastAsia="宋体" w:cs="宋体"/>
          <w:b/>
          <w:bCs/>
          <w:color w:val="000000"/>
          <w:sz w:val="24"/>
          <w:szCs w:val="24"/>
          <w:highlight w:val="none"/>
          <w:u w:val="single"/>
          <w:lang w:val="en-US" w:eastAsia="zh-CN"/>
        </w:rPr>
        <w:t xml:space="preserve"> 不接受 </w:t>
      </w:r>
      <w:r>
        <w:rPr>
          <w:rFonts w:hint="eastAsia" w:ascii="宋体" w:hAnsi="宋体" w:eastAsia="宋体" w:cs="宋体"/>
          <w:b/>
          <w:bCs/>
          <w:color w:val="000000"/>
          <w:sz w:val="24"/>
          <w:szCs w:val="24"/>
          <w:highlight w:val="none"/>
          <w:lang w:val="en-US" w:eastAsia="zh-CN"/>
        </w:rPr>
        <w:t xml:space="preserve"> 进口产品投标。</w:t>
      </w:r>
      <w:r/>
    </w:p>
    <w:p>
      <w:pPr>
        <w:pStyle w:val="8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12、采购标的对应的中小企业划分标准所属行业一览表</w:t>
      </w:r>
      <w:r/>
    </w:p>
    <w:tbl>
      <w:tblPr>
        <w:tblStyle w:val="847"/>
        <w:tblW w:w="8522" w:type="dxa"/>
        <w:tblCellSpacing w:w="0" w:type="dxa"/>
        <w:tblInd w:w="10" w:type="dxa"/>
        <w:tblLayout w:type="autofit"/>
        <w:tblCellMar>
          <w:left w:w="108" w:type="dxa"/>
          <w:top w:w="0" w:type="dxa"/>
          <w:right w:w="108" w:type="dxa"/>
          <w:bottom w:w="0" w:type="dxa"/>
        </w:tblCellMar>
        <w:tblLook w:val="04A0" w:firstRow="1" w:lastRow="0" w:firstColumn="1" w:lastColumn="0" w:noHBand="0" w:noVBand="1"/>
      </w:tblPr>
      <w:tblGrid>
        <w:gridCol w:w="1107"/>
        <w:gridCol w:w="3667"/>
        <w:gridCol w:w="3748"/>
      </w:tblGrid>
      <w:tr>
        <w:trPr>
          <w:tblCellSpacing w:w="0" w:type="dxa"/>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856"/>
              <w:ind w:left="0" w:right="0" w:firstLine="0"/>
              <w:jc w:val="center"/>
              <w:spacing w:beforeAutospacing="0" w:afterAutospacing="0" w:line="24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67" w:type="dxa"/>
            <w:vAlign w:val="center"/>
            <w:textDirection w:val="lrTb"/>
            <w:noWrap w:val="false"/>
          </w:tcPr>
          <w:p>
            <w:pPr>
              <w:pStyle w:val="856"/>
              <w:ind w:left="0" w:right="0" w:firstLine="0"/>
              <w:jc w:val="center"/>
              <w:spacing w:beforeAutospacing="0" w:afterAutospacing="0" w:line="24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48" w:type="dxa"/>
            <w:vAlign w:val="center"/>
            <w:textDirection w:val="lrTb"/>
            <w:noWrap w:val="false"/>
          </w:tcPr>
          <w:p>
            <w:pPr>
              <w:pStyle w:val="856"/>
              <w:ind w:left="0" w:right="0" w:firstLine="0"/>
              <w:jc w:val="center"/>
              <w:spacing w:beforeAutospacing="0" w:afterAutospacing="0" w:line="24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对应中小企业划分标准所属行业</w:t>
            </w:r>
            <w:r/>
          </w:p>
        </w:tc>
      </w:tr>
      <w:tr>
        <w:trPr>
          <w:tblCellSpacing w:w="0" w:type="dxa"/>
          <w:trHeight w:val="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856"/>
              <w:ind w:left="0" w:right="0" w:firstLine="0"/>
              <w:jc w:val="center"/>
              <w:spacing w:beforeAutospacing="0" w:afterAutospacing="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7" w:type="dxa"/>
            <w:vAlign w:val="center"/>
            <w:textDirection w:val="lrTb"/>
            <w:noWrap w:val="false"/>
          </w:tcPr>
          <w:p>
            <w:pPr>
              <w:pStyle w:val="856"/>
              <w:ind w:left="0" w:right="0" w:firstLine="0"/>
              <w:jc w:val="center"/>
              <w:spacing w:beforeAutospacing="0" w:afterAutospacing="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东台市公安技防设施维保项目</w:t>
            </w:r>
            <w:r/>
          </w:p>
        </w:tc>
        <w:tc>
          <w:tcPr>
            <w:shd w:val="clear" w:color="auto" w:fill="auto"/>
            <w:tcBorders>
              <w:top w:val="single" w:color="000000" w:sz="4" w:space="0"/>
              <w:left w:val="single" w:color="000000" w:sz="4" w:space="0"/>
              <w:bottom w:val="single" w:color="000000" w:sz="4" w:space="0"/>
              <w:right w:val="single" w:color="000000" w:sz="4" w:space="0"/>
            </w:tcBorders>
            <w:tcW w:w="3748" w:type="dxa"/>
            <w:vAlign w:val="center"/>
            <w:textDirection w:val="lrTb"/>
            <w:noWrap w:val="false"/>
          </w:tcPr>
          <w:p>
            <w:pPr>
              <w:pStyle w:val="856"/>
              <w:ind w:left="0" w:right="0" w:firstLine="0"/>
              <w:jc w:val="center"/>
              <w:spacing w:beforeAutospacing="0" w:afterAutospacing="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租赁和商务服务业</w:t>
            </w:r>
            <w:r/>
          </w:p>
        </w:tc>
      </w:tr>
    </w:tbl>
    <w:p>
      <w:r/>
      <w:bookmarkStart w:id="183" w:name="_Toc120614281"/>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8"/>
        <w:rPr>
          <w:rFonts w:hint="eastAsia"/>
        </w:rPr>
      </w:pPr>
      <w:r>
        <w:rPr>
          <w:rFonts w:hint="eastAsia"/>
        </w:rPr>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56"/>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56"/>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856"/>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862"/>
        <w:ind w:firstLine="360"/>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862"/>
        <w:ind w:firstLine="360"/>
        <w:rPr>
          <w:rFonts w:hint="eastAsia" w:ascii="宋体" w:hAnsi="宋体" w:eastAsia="宋体" w:cs="宋体"/>
          <w:highlight w:val="none"/>
        </w:rPr>
      </w:pPr>
      <w:r>
        <w:rPr>
          <w:rFonts w:hint="eastAsia" w:ascii="宋体" w:hAnsi="宋体" w:eastAsia="宋体" w:cs="宋体"/>
          <w:highlight w:val="none"/>
        </w:rPr>
        <w:t xml:space="preserve">（2）供应商需按照采购文件的要求提供相应的《</w:t>
      </w:r>
      <w:r>
        <w:rPr>
          <w:rFonts w:hint="eastAsia" w:ascii="宋体" w:hAnsi="宋体" w:eastAsia="宋体" w:cs="宋体"/>
          <w:highlight w:val="none"/>
          <w:lang w:val="en-US" w:eastAsia="zh-CN"/>
        </w:rPr>
        <w:t xml:space="preserve">中小</w:t>
      </w:r>
      <w:r>
        <w:rPr>
          <w:rFonts w:hint="eastAsia" w:ascii="宋体" w:hAnsi="宋体" w:eastAsia="宋体" w:cs="宋体"/>
          <w:highlight w:val="none"/>
        </w:rPr>
        <w:t xml:space="preserve">企业声明函》。</w:t>
      </w:r>
      <w:r/>
    </w:p>
    <w:p>
      <w:pPr>
        <w:pStyle w:val="862"/>
        <w:ind w:firstLine="360"/>
        <w:rPr>
          <w:rFonts w:hint="eastAsia" w:ascii="宋体" w:hAnsi="宋体" w:eastAsia="宋体" w:cs="宋体"/>
          <w:highlight w:val="none"/>
        </w:rPr>
      </w:pPr>
      <w:r>
        <w:rPr>
          <w:rFonts w:hint="eastAsia" w:ascii="宋体" w:hAnsi="宋体" w:eastAsia="宋体" w:cs="宋体"/>
          <w:highlight w:val="none"/>
        </w:rPr>
        <w:t xml:space="preserve">（3）企业标准请参照《关于印发中小企业划型标准规定的通知》（工信部联企业</w:t>
      </w:r>
      <w:r>
        <w:rPr>
          <w:rFonts w:hint="eastAsia" w:ascii="宋体" w:hAnsi="宋体" w:eastAsia="宋体" w:cs="宋体"/>
          <w:highlight w:val="none"/>
          <w:lang w:eastAsia="zh-CN"/>
        </w:rPr>
        <w:t xml:space="preserve">〔2011〕300号</w:t>
      </w:r>
      <w:r>
        <w:rPr>
          <w:rFonts w:hint="eastAsia" w:ascii="宋体" w:hAnsi="宋体" w:eastAsia="宋体" w:cs="宋体"/>
          <w:highlight w:val="none"/>
        </w:rPr>
        <w:t xml:space="preserve">）文件规定自行填写。</w:t>
      </w:r>
      <w:r/>
    </w:p>
    <w:p>
      <w:pPr>
        <w:pStyle w:val="856"/>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856"/>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56"/>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56"/>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56"/>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856"/>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56"/>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6"/>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856"/>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856"/>
        <w:ind w:firstLine="48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856"/>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7、采购本国产品的支持政策</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highlight w:val="none"/>
          <w:u w:val="single"/>
        </w:rPr>
        <w:t xml:space="preserve">20%</w:t>
      </w:r>
      <w:r>
        <w:rPr>
          <w:rFonts w:hint="eastAsia" w:ascii="宋体" w:hAnsi="宋体" w:eastAsia="宋体" w:cs="宋体"/>
          <w:b/>
          <w:bCs/>
          <w:color w:val="ff0000"/>
          <w:sz w:val="24"/>
          <w:szCs w:val="24"/>
          <w:highlight w:val="none"/>
        </w:rPr>
        <w:t xml:space="preserve">的价格扣除，用扣除后的价格参与评审。</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highlight w:val="none"/>
          <w:u w:val="single"/>
        </w:rPr>
        <w:t xml:space="preserve">80%</w:t>
      </w:r>
      <w:r>
        <w:rPr>
          <w:rFonts w:hint="eastAsia" w:ascii="宋体" w:hAnsi="宋体" w:eastAsia="宋体" w:cs="宋体"/>
          <w:b/>
          <w:bCs/>
          <w:color w:val="ff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highlight w:val="none"/>
          <w:u w:val="single"/>
        </w:rPr>
        <w:t xml:space="preserve">20%</w:t>
      </w:r>
      <w:r>
        <w:rPr>
          <w:rFonts w:hint="eastAsia" w:ascii="宋体" w:hAnsi="宋体" w:eastAsia="宋体" w:cs="宋体"/>
          <w:b/>
          <w:bCs/>
          <w:color w:val="ff0000"/>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7.4 供应商需在《声明函》中逐一、准确填写产品名称、厂名、生产厂址三项信息（《声明函》中用</w:t>
      </w:r>
      <w:r>
        <w:rPr>
          <w:rFonts w:hint="eastAsia" w:ascii="宋体" w:hAnsi="宋体" w:eastAsia="宋体" w:cs="宋体"/>
          <w:b/>
          <w:bCs/>
          <w:color w:val="ff0000"/>
          <w:sz w:val="24"/>
          <w:szCs w:val="24"/>
          <w:highlight w:val="none"/>
          <w:lang w:val="en-US" w:eastAsia="zh-CN"/>
        </w:rPr>
        <w:t xml:space="preserve">横</w:t>
      </w:r>
      <w:r>
        <w:rPr>
          <w:rFonts w:hint="eastAsia" w:ascii="宋体" w:hAnsi="宋体" w:eastAsia="宋体" w:cs="宋体"/>
          <w:b/>
          <w:bCs/>
          <w:color w:val="ff0000"/>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000000"/>
          <w:highlight w:val="none"/>
          <w:u w:val="single"/>
          <w:lang w:eastAsia="zh-CN"/>
        </w:rPr>
      </w:pPr>
      <w:r>
        <w:rPr>
          <w:rFonts w:hint="eastAsia" w:ascii="宋体" w:hAnsi="宋体" w:eastAsia="宋体" w:cs="宋体"/>
          <w:b/>
          <w:bCs/>
          <w:color w:val="ff0000"/>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highlight w:val="none"/>
          <w:lang w:val="en-US" w:eastAsia="zh-CN"/>
        </w:rPr>
        <w:t xml:space="preserve">在苏采云系统</w:t>
      </w:r>
      <w:r>
        <w:rPr>
          <w:rFonts w:hint="eastAsia" w:ascii="宋体" w:hAnsi="宋体" w:eastAsia="宋体" w:cs="宋体"/>
          <w:b/>
          <w:bCs/>
          <w:color w:val="ff0000"/>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szCs w:val="24"/>
          <w:highlight w:val="none"/>
        </w:rPr>
        <w:t xml:space="preserve">和招标文件规定的，供应商提供的相关产品视为不符合本国产品标准。</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56"/>
        <w:ind w:firstLine="482"/>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p>
      <w:pPr>
        <w:pStyle w:val="8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847"/>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352"/>
        <w:gridCol w:w="818"/>
        <w:gridCol w:w="5288"/>
      </w:tblGrid>
      <w:tr>
        <w:trPr>
          <w:jc w:val="center"/>
          <w:trHeight w:val="544"/>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rPr>
                <w:rFonts w:hint="eastAsia" w:ascii="仿宋" w:hAnsi="仿宋" w:eastAsia="仿宋" w:cs="仿宋"/>
                <w:b/>
                <w:bCs/>
                <w:highlight w:val="none"/>
              </w:rPr>
            </w:pPr>
            <w:r>
              <w:rPr>
                <w:rFonts w:hint="eastAsia" w:ascii="仿宋" w:hAnsi="仿宋" w:eastAsia="仿宋" w:cs="仿宋"/>
                <w:b/>
                <w:bCs/>
                <w:highlight w:val="none"/>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b/>
                <w:bCs/>
                <w:highlight w:val="none"/>
              </w:rPr>
            </w:pPr>
            <w:r>
              <w:rPr>
                <w:rFonts w:hint="eastAsia" w:ascii="仿宋" w:hAnsi="仿宋" w:eastAsia="仿宋" w:cs="仿宋"/>
                <w:b/>
                <w:bCs/>
                <w:highlight w:val="none"/>
              </w:rPr>
              <w:t xml:space="preserve">分部内容</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bCs/>
                <w:highlight w:val="none"/>
              </w:rPr>
            </w:pPr>
            <w:r>
              <w:rPr>
                <w:rFonts w:hint="eastAsia" w:ascii="仿宋" w:hAnsi="仿宋" w:eastAsia="仿宋" w:cs="仿宋"/>
                <w:b/>
                <w:bCs/>
                <w:highlight w:val="none"/>
              </w:rPr>
              <w:t xml:space="preserve">分项内容</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bCs/>
                <w:highlight w:val="none"/>
              </w:rPr>
            </w:pPr>
            <w:r>
              <w:rPr>
                <w:rFonts w:hint="eastAsia" w:ascii="仿宋" w:hAnsi="仿宋" w:eastAsia="仿宋" w:cs="仿宋"/>
                <w:b/>
                <w:bCs/>
                <w:highlight w:val="none"/>
              </w:rPr>
              <w:t xml:space="preserve">分值</w:t>
            </w:r>
            <w:r/>
          </w:p>
        </w:tc>
        <w:tc>
          <w:tcPr>
            <w:tcBorders>
              <w:top w:val="single" w:color="auto" w:sz="4" w:space="0"/>
              <w:left w:val="single" w:color="auto" w:sz="4" w:space="0"/>
              <w:bottom w:val="single" w:color="auto" w:sz="4" w:space="0"/>
              <w:right w:val="single" w:color="auto" w:sz="4" w:space="0"/>
            </w:tcBorders>
            <w:tcW w:w="5288" w:type="dxa"/>
            <w:vAlign w:val="center"/>
            <w:textDirection w:val="lrTb"/>
            <w:noWrap w:val="false"/>
          </w:tcPr>
          <w:p>
            <w:pPr>
              <w:pStyle w:val="849"/>
              <w:jc w:val="center"/>
              <w:rPr>
                <w:rFonts w:hint="eastAsia" w:ascii="仿宋" w:hAnsi="仿宋" w:eastAsia="仿宋" w:cs="仿宋"/>
                <w:b/>
                <w:bCs/>
                <w:highlight w:val="none"/>
              </w:rPr>
            </w:pPr>
            <w:r>
              <w:rPr>
                <w:rFonts w:hint="eastAsia" w:ascii="仿宋" w:hAnsi="仿宋" w:eastAsia="仿宋" w:cs="仿宋"/>
                <w:b/>
                <w:bCs/>
                <w:highlight w:val="none"/>
              </w:rPr>
              <w:t xml:space="preserve">打分要求</w:t>
            </w:r>
            <w:r/>
          </w:p>
        </w:tc>
      </w:tr>
      <w:tr>
        <w:trPr>
          <w:jc w:val="center"/>
          <w:trHeight w:val="854"/>
        </w:trPr>
        <w:tc>
          <w:tcPr>
            <w:tcBorders>
              <w:top w:val="single" w:color="auto" w:sz="4" w:space="0"/>
              <w:left w:val="single" w:color="auto" w:sz="4" w:space="0"/>
              <w:right w:val="single" w:color="auto" w:sz="4" w:space="0"/>
            </w:tcBorders>
            <w:tcW w:w="57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一</w:t>
            </w:r>
            <w:r/>
          </w:p>
        </w:tc>
        <w:tc>
          <w:tcPr>
            <w:tcBorders>
              <w:top w:val="single" w:color="auto" w:sz="4" w:space="0"/>
              <w:left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价格部分</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投标报价</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highlight w:val="none"/>
                <w:lang w:val="en-US"/>
              </w:rPr>
            </w:pPr>
            <w:r>
              <w:rPr>
                <w:rFonts w:hint="eastAsia" w:ascii="仿宋" w:hAnsi="仿宋" w:eastAsia="仿宋" w:cs="仿宋"/>
                <w:b w:val="0"/>
                <w:bCs w:val="0"/>
                <w:color w:val="auto"/>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5288" w:type="dxa"/>
            <w:vAlign w:val="center"/>
            <w:textDirection w:val="lrTb"/>
            <w:noWrap w:val="false"/>
          </w:tcPr>
          <w:p>
            <w:pPr>
              <w:pStyle w:val="849"/>
              <w:rPr>
                <w:rFonts w:hint="eastAsia" w:ascii="仿宋" w:hAnsi="仿宋" w:eastAsia="仿宋" w:cs="仿宋"/>
                <w:color w:val="auto"/>
                <w:highlight w:val="none"/>
              </w:rPr>
            </w:pPr>
            <w:r/>
            <w:bookmarkStart w:id="184" w:name="OLE_LINK20"/>
            <w:r>
              <w:rPr>
                <w:rFonts w:hint="eastAsia" w:ascii="仿宋" w:hAnsi="仿宋" w:eastAsia="仿宋" w:cs="仿宋"/>
                <w:color w:val="auto"/>
                <w:highlight w:val="none"/>
              </w:rPr>
              <w:t xml:space="preserve">满足招标文件要求且投标价格最低的投标报价为基准价，其价格分为满分。报价得分=(评标基准价/投标报价)×</w:t>
            </w: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w:t>
            </w:r>
            <w:bookmarkEnd w:id="184"/>
            <w:r/>
            <w:r/>
          </w:p>
        </w:tc>
      </w:tr>
      <w:tr>
        <w:trPr>
          <w:jc w:val="center"/>
          <w:trHeight w:val="90"/>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技术部分</w:t>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维保服务</w:t>
            </w:r>
            <w:r/>
          </w:p>
          <w:p>
            <w:pPr>
              <w:jc w:val="center"/>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方案</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20</w:t>
            </w:r>
            <w:r/>
          </w:p>
        </w:tc>
        <w:tc>
          <w:tcPr>
            <w:tcBorders>
              <w:top w:val="single" w:color="auto" w:sz="4" w:space="0"/>
              <w:left w:val="single" w:color="auto" w:sz="4" w:space="0"/>
              <w:right w:val="single" w:color="auto" w:sz="4" w:space="0"/>
            </w:tcBorders>
            <w:tcW w:w="5288" w:type="dxa"/>
            <w:vAlign w:val="center"/>
            <w:textDirection w:val="lrTb"/>
            <w:noWrap w:val="false"/>
          </w:tcPr>
          <w:p>
            <w:pPr>
              <w:pStyle w:val="84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根据投标人对维保服务内容的理解、方案完整性、专业性及可行性进行评审。维保服务方案内容包含但不限于：维保服务内容的理解、维保组织架构建立、维保流程（日常巡检、定期保养、故障排查与维修等）、人员培训、维保考核与保障机制等（需结合公安技防项目属性，涵盖技防设备相关维保，符合公安安防相关标准及信息管理要求）。</w:t>
            </w:r>
            <w:r/>
          </w:p>
          <w:p>
            <w:pPr>
              <w:pStyle w:val="84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本项满分20分，评审委员会根据投标人具体响应内容，按以下量化标准进行满足性判断：</w:t>
            </w:r>
            <w:r/>
          </w:p>
          <w:p>
            <w:pPr>
              <w:pStyle w:val="84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1.方案完整详尽，专业性、可行性强，考虑周全，思路清晰，完全满足项目需求，得20分；</w:t>
            </w:r>
            <w:r/>
          </w:p>
          <w:p>
            <w:pPr>
              <w:pStyle w:val="84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2.方案较为完整、针对性较强，思路基本清晰，能够满足项目需求，得15分；</w:t>
            </w:r>
            <w:r/>
          </w:p>
          <w:p>
            <w:pPr>
              <w:pStyle w:val="84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3.方案较为简单，针对性基本满足项目需求，得10分；</w:t>
            </w:r>
            <w:r/>
          </w:p>
          <w:p>
            <w:pPr>
              <w:pStyle w:val="849"/>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4.未提供维保服务方案，或方案内容严重缺失、不符合项目需求，不得分。</w:t>
            </w:r>
            <w:r/>
          </w:p>
        </w:tc>
      </w:tr>
      <w:tr>
        <w:trPr>
          <w:jc w:val="center"/>
          <w:trHeight w:val="90"/>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default" w:ascii="仿宋" w:hAnsi="仿宋" w:eastAsia="仿宋" w:cs="仿宋"/>
                <w:b w:val="0"/>
                <w:bCs w:val="0"/>
                <w:color w:val="auto"/>
                <w:highlight w:val="none"/>
                <w:lang w:val="en-US" w:eastAsia="zh-CN"/>
              </w:rPr>
            </w:pPr>
            <w:r>
              <w:rPr>
                <w:rFonts w:hint="default" w:ascii="仿宋" w:hAnsi="仿宋" w:eastAsia="仿宋" w:cs="仿宋"/>
                <w:b w:val="0"/>
                <w:bCs w:val="0"/>
                <w:color w:val="auto"/>
                <w:highlight w:val="none"/>
                <w:lang w:val="en-US" w:eastAsia="zh-CN"/>
              </w:rPr>
              <w:t xml:space="preserve">重点难点分析</w:t>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none"/>
              </w:rPr>
            </w:pPr>
            <w:r>
              <w:rPr>
                <w:rFonts w:hint="eastAsia" w:ascii="仿宋" w:hAnsi="仿宋" w:eastAsia="仿宋" w:cs="仿宋"/>
                <w:b w:val="0"/>
                <w:bCs w:val="0"/>
                <w:color w:val="auto"/>
                <w:highlight w:val="none"/>
                <w:lang w:val="en-US" w:eastAsia="zh-CN"/>
              </w:rPr>
              <w:t xml:space="preserve">15</w:t>
            </w:r>
            <w:r/>
          </w:p>
        </w:tc>
        <w:tc>
          <w:tcPr>
            <w:tcBorders>
              <w:left w:val="single" w:color="auto" w:sz="4" w:space="0"/>
              <w:right w:val="single" w:color="auto" w:sz="4" w:space="0"/>
            </w:tcBorders>
            <w:tcW w:w="5288" w:type="dxa"/>
            <w:vAlign w:val="center"/>
            <w:textDirection w:val="lrTb"/>
            <w:noWrap w:val="false"/>
          </w:tcPr>
          <w:p>
            <w:pPr>
              <w:pStyle w:val="84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根据投标人对公安技防设施维保项目重点、难点的识别准确性，以及针对重点工作的保障措施、难点问题的解决方案专业性、可行性进行评审。重点涵盖专用设备调试、视频监控技术设备档案信息治理同步上传、维修工单故障排查与分析、频繁离线故障排查与分析等相关内容。</w:t>
            </w:r>
            <w:r/>
          </w:p>
          <w:p>
            <w:pPr>
              <w:pStyle w:val="84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本项满分15分，评审委员会根据投标人具体响应内容，按以下量化标准进行满足性判断：</w:t>
            </w:r>
            <w:r/>
          </w:p>
          <w:p>
            <w:pPr>
              <w:pStyle w:val="84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1.能精准识别项目核心重点、难点，贴合公安技防项目实际，重点保障措施完善，难点解决方案专业可行、针对性极强，得15分；</w:t>
            </w:r>
            <w:r/>
          </w:p>
          <w:p>
            <w:pPr>
              <w:pStyle w:val="84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2.能准确识别项目主要重点、难点，重点保障措施较为完善，难点解决方案可行、有一定针对性，得10分；</w:t>
            </w:r>
            <w:r/>
          </w:p>
          <w:p>
            <w:pPr>
              <w:pStyle w:val="84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3.能识别项目部分重点、难点，重点保障措施较为简单，难点解决方案针对性基本可行，得5分；</w:t>
            </w:r>
            <w:r/>
          </w:p>
          <w:p>
            <w:pPr>
              <w:pStyle w:val="849"/>
              <w:rPr>
                <w:rFonts w:hint="eastAsia" w:ascii="仿宋" w:hAnsi="仿宋" w:eastAsia="仿宋" w:cs="仿宋"/>
                <w:color w:val="auto"/>
                <w:sz w:val="21"/>
                <w:szCs w:val="21"/>
                <w:highlight w:val="none"/>
              </w:rPr>
            </w:pPr>
            <w:r>
              <w:rPr>
                <w:rFonts w:hint="eastAsia" w:ascii="仿宋" w:hAnsi="仿宋" w:eastAsia="仿宋" w:cs="仿宋"/>
                <w:color w:val="auto"/>
                <w:highlight w:val="none"/>
                <w:lang w:val="en-US" w:eastAsia="zh-CN"/>
              </w:rPr>
              <w:t xml:space="preserve">4.未提供重点难点分析相关内容，或重点、难点识别严重偏差，无有效保障措施及解决方案，不得分。</w:t>
            </w:r>
            <w:r/>
          </w:p>
        </w:tc>
      </w:tr>
      <w:tr>
        <w:trPr>
          <w:jc w:val="center"/>
          <w:trHeight w:val="1549"/>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lang w:val="en-US"/>
              </w:rPr>
            </w:pPr>
            <w:r>
              <w:rPr>
                <w:rFonts w:hint="eastAsia" w:ascii="仿宋" w:hAnsi="仿宋" w:eastAsia="仿宋" w:cs="仿宋"/>
                <w:b w:val="0"/>
                <w:bCs w:val="0"/>
                <w:color w:val="auto"/>
                <w:highlight w:val="none"/>
                <w:lang w:val="en-US"/>
              </w:rPr>
              <w:t xml:space="preserve">应急保障方案</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10</w:t>
            </w:r>
            <w:r/>
          </w:p>
        </w:tc>
        <w:tc>
          <w:tcPr>
            <w:tcBorders>
              <w:top w:val="single" w:color="auto" w:sz="4" w:space="0"/>
              <w:left w:val="single" w:color="auto" w:sz="4" w:space="0"/>
              <w:right w:val="single" w:color="auto" w:sz="4" w:space="0"/>
            </w:tcBorders>
            <w:tcW w:w="5288" w:type="dxa"/>
            <w:vAlign w:val="center"/>
            <w:textDirection w:val="lrTb"/>
            <w:noWrap w:val="false"/>
          </w:tcPr>
          <w:p>
            <w:pPr>
              <w:pStyle w:val="849"/>
              <w:rPr>
                <w:rFonts w:hint="eastAsia" w:ascii="仿宋" w:hAnsi="仿宋" w:eastAsia="仿宋" w:cs="仿宋"/>
                <w:color w:val="auto"/>
                <w:highlight w:val="none"/>
              </w:rPr>
            </w:pPr>
            <w:r>
              <w:rPr>
                <w:rFonts w:hint="eastAsia" w:ascii="仿宋" w:hAnsi="仿宋" w:eastAsia="仿宋" w:cs="仿宋"/>
                <w:color w:val="auto"/>
                <w:highlight w:val="none"/>
              </w:rPr>
              <w:t xml:space="preserve">根据投标人对公安技防设施应急保障工作的理解、方案完整性、专业性及可行性进行评审。应急保障内容包含但不限于：突发故障应急响应、重大安保任务技术支撑、极端天气/突发事件应急处置、故障应急抢修、备用设备调配，确保快速响应、有效处置，保障公安技防设施及系统平台在各类应急场景下正常运行，符合公安应急工作相关要求。</w:t>
            </w:r>
            <w:r/>
          </w:p>
          <w:p>
            <w:pPr>
              <w:pStyle w:val="849"/>
              <w:rPr>
                <w:rFonts w:hint="eastAsia" w:ascii="仿宋" w:hAnsi="仿宋" w:eastAsia="仿宋" w:cs="仿宋"/>
                <w:color w:val="auto"/>
                <w:highlight w:val="none"/>
              </w:rPr>
            </w:pPr>
            <w:r>
              <w:rPr>
                <w:rFonts w:hint="eastAsia" w:ascii="仿宋" w:hAnsi="仿宋" w:eastAsia="仿宋" w:cs="仿宋"/>
                <w:color w:val="auto"/>
                <w:highlight w:val="none"/>
              </w:rPr>
              <w:t xml:space="preserve">本项满分10分，评审委员会根据投标人具体响应内容，按以下量化标准进行满足性判断：</w:t>
            </w:r>
            <w:r/>
          </w:p>
          <w:p>
            <w:pPr>
              <w:pStyle w:val="849"/>
              <w:rPr>
                <w:rFonts w:hint="eastAsia" w:ascii="仿宋" w:hAnsi="仿宋" w:eastAsia="仿宋" w:cs="仿宋"/>
                <w:color w:val="auto"/>
                <w:highlight w:val="none"/>
              </w:rPr>
            </w:pPr>
            <w:r>
              <w:rPr>
                <w:rFonts w:hint="eastAsia" w:ascii="仿宋" w:hAnsi="仿宋" w:eastAsia="仿宋" w:cs="仿宋"/>
                <w:color w:val="auto"/>
                <w:highlight w:val="none"/>
              </w:rPr>
              <w:t xml:space="preserve">1.方案完整详尽，应急响应流程清晰、保障措施完善，专业性、可行性强，考虑周全，能充分适配公安各类应急场景，完全满足应急保障需求，得10分；</w:t>
            </w:r>
            <w:r/>
          </w:p>
          <w:p>
            <w:pPr>
              <w:pStyle w:val="849"/>
              <w:rPr>
                <w:rFonts w:hint="eastAsia" w:ascii="仿宋" w:hAnsi="仿宋" w:eastAsia="仿宋" w:cs="仿宋"/>
                <w:color w:val="auto"/>
                <w:highlight w:val="none"/>
              </w:rPr>
            </w:pPr>
            <w:r>
              <w:rPr>
                <w:rFonts w:hint="eastAsia" w:ascii="仿宋" w:hAnsi="仿宋" w:eastAsia="仿宋" w:cs="仿宋"/>
                <w:color w:val="auto"/>
                <w:highlight w:val="none"/>
              </w:rPr>
              <w:t xml:space="preserve">2.方案较为完整、应急响应流程基本清晰，保障措施较为完善，针对性较强，能适配主要应急场景，能够满足应急保障需求，得7分；</w:t>
            </w:r>
            <w:r/>
          </w:p>
          <w:p>
            <w:pPr>
              <w:pStyle w:val="849"/>
              <w:rPr>
                <w:rFonts w:hint="eastAsia" w:ascii="仿宋" w:hAnsi="仿宋" w:eastAsia="仿宋" w:cs="仿宋"/>
                <w:color w:val="auto"/>
                <w:highlight w:val="none"/>
              </w:rPr>
            </w:pPr>
            <w:r>
              <w:rPr>
                <w:rFonts w:hint="eastAsia" w:ascii="仿宋" w:hAnsi="仿宋" w:eastAsia="仿宋" w:cs="仿宋"/>
                <w:color w:val="auto"/>
                <w:highlight w:val="none"/>
              </w:rPr>
              <w:t xml:space="preserve">3.方案较为简单、应急响应流程不够细致，保障措施较为基础，针对性能基本应对常规应急场景，基本满足应急保障需求，得4分；</w:t>
            </w:r>
            <w:r/>
          </w:p>
          <w:p>
            <w:pPr>
              <w:pStyle w:val="849"/>
              <w:rPr>
                <w:rFonts w:hint="eastAsia"/>
                <w:highlight w:val="none"/>
                <w:lang w:val="en-US" w:eastAsia="zh-CN"/>
              </w:rPr>
            </w:pPr>
            <w:r>
              <w:rPr>
                <w:rFonts w:hint="eastAsia" w:ascii="仿宋" w:hAnsi="仿宋" w:eastAsia="仿宋" w:cs="仿宋"/>
                <w:color w:val="auto"/>
                <w:highlight w:val="none"/>
              </w:rPr>
              <w:t xml:space="preserve">4.未提供应急保障方案，或方案内容严重缺失、应急措施无效，不符合公安应急保障相关要求，不得分。</w:t>
            </w:r>
            <w:r/>
          </w:p>
        </w:tc>
      </w:tr>
      <w:tr>
        <w:trPr>
          <w:jc w:val="center"/>
          <w:trHeight w:val="90"/>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安全管理方案</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10</w:t>
            </w:r>
            <w:r/>
          </w:p>
        </w:tc>
        <w:tc>
          <w:tcPr>
            <w:tcBorders>
              <w:top w:val="single" w:color="auto" w:sz="4" w:space="0"/>
              <w:left w:val="single" w:color="auto" w:sz="4" w:space="0"/>
              <w:right w:val="single" w:color="auto" w:sz="4" w:space="0"/>
            </w:tcBorders>
            <w:tcW w:w="5288" w:type="dxa"/>
            <w:vAlign w:val="center"/>
            <w:textDirection w:val="lrTb"/>
            <w:noWrap w:val="false"/>
          </w:tcPr>
          <w:p>
            <w:pPr>
              <w:pStyle w:val="849"/>
              <w:rPr>
                <w:rFonts w:hint="eastAsia" w:ascii="仿宋" w:hAnsi="仿宋" w:eastAsia="仿宋" w:cs="仿宋"/>
                <w:color w:val="auto"/>
                <w:highlight w:val="none"/>
              </w:rPr>
            </w:pPr>
            <w:r>
              <w:rPr>
                <w:rFonts w:hint="eastAsia" w:ascii="仿宋" w:hAnsi="仿宋" w:eastAsia="仿宋" w:cs="仿宋"/>
                <w:color w:val="auto"/>
                <w:highlight w:val="none"/>
              </w:rPr>
              <w:t xml:space="preserve">根据投标人对公安技防设施维保中安全管理的理解及对安全管理机制进行评审。安全管理方案包含但不限于：信息安全、人员安全、施工安全、资产安全等，符合公安安全管理相关要求。</w:t>
            </w:r>
            <w:r/>
          </w:p>
          <w:p>
            <w:pPr>
              <w:pStyle w:val="849"/>
              <w:rPr>
                <w:rFonts w:hint="eastAsia" w:ascii="仿宋" w:hAnsi="仿宋" w:eastAsia="仿宋" w:cs="仿宋"/>
                <w:color w:val="auto"/>
                <w:highlight w:val="none"/>
              </w:rPr>
            </w:pPr>
            <w:r>
              <w:rPr>
                <w:rFonts w:hint="eastAsia" w:ascii="仿宋" w:hAnsi="仿宋" w:eastAsia="仿宋" w:cs="仿宋"/>
                <w:color w:val="auto"/>
                <w:highlight w:val="none"/>
              </w:rPr>
              <w:t xml:space="preserve">本项满分10分，评审委员会根据投标人具体响应内容，按以下量化标准进行满足性判断：</w:t>
            </w:r>
            <w:r/>
          </w:p>
          <w:p>
            <w:pPr>
              <w:pStyle w:val="849"/>
              <w:rPr>
                <w:rFonts w:hint="eastAsia" w:ascii="仿宋" w:hAnsi="仿宋" w:eastAsia="仿宋" w:cs="仿宋"/>
                <w:color w:val="auto"/>
                <w:highlight w:val="none"/>
              </w:rPr>
            </w:pPr>
            <w:r>
              <w:rPr>
                <w:rFonts w:hint="eastAsia" w:ascii="仿宋" w:hAnsi="仿宋" w:eastAsia="仿宋" w:cs="仿宋"/>
                <w:color w:val="auto"/>
                <w:highlight w:val="none"/>
              </w:rPr>
              <w:t xml:space="preserve">1.方案完整详尽，安全管理涉及完全全面、安全保障措施完善，专业性、可行性强，考虑周全，能充分适配公安安全管理，完全满足安全管理需求，得10分；</w:t>
            </w:r>
            <w:r/>
          </w:p>
          <w:p>
            <w:pPr>
              <w:pStyle w:val="849"/>
              <w:rPr>
                <w:rFonts w:hint="eastAsia" w:ascii="仿宋" w:hAnsi="仿宋" w:eastAsia="仿宋" w:cs="仿宋"/>
                <w:color w:val="auto"/>
                <w:highlight w:val="none"/>
              </w:rPr>
            </w:pPr>
            <w:r>
              <w:rPr>
                <w:rFonts w:hint="eastAsia" w:ascii="仿宋" w:hAnsi="仿宋" w:eastAsia="仿宋" w:cs="仿宋"/>
                <w:color w:val="auto"/>
                <w:highlight w:val="none"/>
              </w:rPr>
              <w:t xml:space="preserve">2.方案较为完整，安全管理涉及基本全面、安全保障措施较为完善，专业性、针对性强，能适配公安安全管理，能够满足安全管理需求，得7分；</w:t>
            </w:r>
            <w:r/>
          </w:p>
          <w:p>
            <w:pPr>
              <w:pStyle w:val="849"/>
              <w:rPr>
                <w:rFonts w:hint="eastAsia" w:ascii="仿宋" w:hAnsi="仿宋" w:eastAsia="仿宋" w:cs="仿宋"/>
                <w:color w:val="auto"/>
                <w:highlight w:val="none"/>
              </w:rPr>
            </w:pPr>
            <w:r>
              <w:rPr>
                <w:rFonts w:hint="eastAsia" w:ascii="仿宋" w:hAnsi="仿宋" w:eastAsia="仿宋" w:cs="仿宋"/>
                <w:color w:val="auto"/>
                <w:highlight w:val="none"/>
              </w:rPr>
              <w:t xml:space="preserve">3.方案较为简单、安全管理涉及不够细致，保安全保障措施较为基础，针对性能基本配公安安全管理，基本满足安全管理需求，得4分；</w:t>
            </w:r>
            <w:r/>
          </w:p>
          <w:p>
            <w:pPr>
              <w:pStyle w:val="849"/>
              <w:rPr>
                <w:rFonts w:hint="eastAsia" w:ascii="仿宋" w:hAnsi="仿宋" w:eastAsia="仿宋" w:cs="仿宋"/>
                <w:color w:val="auto"/>
                <w:highlight w:val="none"/>
              </w:rPr>
            </w:pPr>
            <w:r>
              <w:rPr>
                <w:rFonts w:hint="eastAsia" w:ascii="仿宋" w:hAnsi="仿宋" w:eastAsia="仿宋" w:cs="仿宋"/>
                <w:color w:val="auto"/>
                <w:highlight w:val="none"/>
              </w:rPr>
              <w:t xml:space="preserve">4.未提供应急保障方案，或方案内容严重缺失、安全管理无效，不符合公安安全管理相关要求，不得分。</w:t>
            </w:r>
            <w:r/>
          </w:p>
        </w:tc>
      </w:tr>
      <w:tr>
        <w:trPr>
          <w:jc w:val="center"/>
          <w:trHeight w:val="6797"/>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sz w:val="21"/>
                <w:szCs w:val="24"/>
                <w:highlight w:val="none"/>
                <w:lang w:val="en-US" w:eastAsia="zh-CN" w:bidi="ar-SA"/>
              </w:rPr>
            </w:pPr>
            <w:r>
              <w:rPr>
                <w:rFonts w:hint="eastAsia" w:ascii="仿宋" w:hAnsi="仿宋" w:eastAsia="仿宋" w:cs="仿宋"/>
                <w:b w:val="0"/>
                <w:bCs w:val="0"/>
                <w:color w:val="auto"/>
                <w:highlight w:val="none"/>
                <w:lang w:val="en-US" w:eastAsia="zh-CN"/>
              </w:rPr>
              <w:t xml:space="preserve">视频演示</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sz w:val="21"/>
                <w:szCs w:val="24"/>
                <w:highlight w:val="none"/>
                <w:lang w:val="en-US" w:eastAsia="zh-CN" w:bidi="ar-SA"/>
              </w:rPr>
            </w:pPr>
            <w:r>
              <w:rPr>
                <w:rFonts w:hint="eastAsia" w:ascii="仿宋" w:hAnsi="仿宋" w:eastAsia="仿宋" w:cs="仿宋"/>
                <w:b w:val="0"/>
                <w:bCs w:val="0"/>
                <w:color w:val="auto"/>
                <w:highlight w:val="none"/>
                <w:lang w:val="en-US" w:eastAsia="zh-CN"/>
              </w:rPr>
              <w:t xml:space="preserve">10</w:t>
            </w:r>
            <w:r/>
          </w:p>
        </w:tc>
        <w:tc>
          <w:tcPr>
            <w:tcBorders>
              <w:top w:val="single" w:color="auto" w:sz="4" w:space="0"/>
              <w:left w:val="single" w:color="auto" w:sz="4" w:space="0"/>
              <w:right w:val="single" w:color="auto" w:sz="4" w:space="0"/>
            </w:tcBorders>
            <w:tcW w:w="5288" w:type="dxa"/>
            <w:vAlign w:val="center"/>
            <w:textDirection w:val="lrTb"/>
            <w:noWrap w:val="false"/>
          </w:tcPr>
          <w:p>
            <w:pPr>
              <w:pStyle w:val="849"/>
              <w:ind w:firstLine="420"/>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在演示过程中如若出现无法打开，识别，格式错误等情况导致无法进行评审打分的，责任由投标人承担，演示视频超出规定时间的视为不响应，不得分。</w:t>
            </w:r>
            <w:r/>
          </w:p>
          <w:p>
            <w:pPr>
              <w:pStyle w:val="849"/>
              <w:ind w:firstLine="420"/>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2、演示内容如下：</w:t>
            </w:r>
            <w:r/>
          </w:p>
          <w:p>
            <w:pPr>
              <w:pStyle w:val="849"/>
              <w:ind w:firstLine="420"/>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（1）链路总览：系统支持统计维保链路数量、链路属性、所属运营商等相关统计信息（0~3</w:t>
            </w:r>
            <w:r>
              <w:rPr>
                <w:rFonts w:hint="eastAsia" w:ascii="仿宋" w:hAnsi="仿宋" w:eastAsia="仿宋" w:cs="仿宋"/>
                <w:color w:val="auto"/>
                <w:highlight w:val="none"/>
                <w:lang w:val="en-US" w:eastAsia="zh-CN"/>
              </w:rPr>
              <w:t xml:space="preserve">分</w:t>
            </w:r>
            <w:r>
              <w:rPr>
                <w:rFonts w:hint="default" w:ascii="仿宋" w:hAnsi="仿宋" w:eastAsia="仿宋" w:cs="仿宋"/>
                <w:color w:val="auto"/>
                <w:highlight w:val="none"/>
                <w:lang w:val="en-US" w:eastAsia="zh-CN"/>
              </w:rPr>
              <w:t xml:space="preserve">）</w:t>
            </w:r>
            <w:r/>
          </w:p>
          <w:p>
            <w:pPr>
              <w:pStyle w:val="849"/>
              <w:ind w:firstLine="420"/>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注：以上演示方案内容完整得3分，每有一项缺失或演示内容不符合项目特征的该项得0分。</w:t>
            </w:r>
            <w:r/>
          </w:p>
          <w:p>
            <w:pPr>
              <w:pStyle w:val="849"/>
              <w:ind w:firstLine="420"/>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（2）故障分析：系统支持对链路故障原因进行分析并统计。（0~3</w:t>
            </w:r>
            <w:r>
              <w:rPr>
                <w:rFonts w:hint="eastAsia" w:ascii="仿宋" w:hAnsi="仿宋" w:eastAsia="仿宋" w:cs="仿宋"/>
                <w:color w:val="auto"/>
                <w:highlight w:val="none"/>
                <w:lang w:val="en-US" w:eastAsia="zh-CN"/>
              </w:rPr>
              <w:t xml:space="preserve">分</w:t>
            </w:r>
            <w:r>
              <w:rPr>
                <w:rFonts w:hint="default" w:ascii="仿宋" w:hAnsi="仿宋" w:eastAsia="仿宋" w:cs="仿宋"/>
                <w:color w:val="auto"/>
                <w:highlight w:val="none"/>
                <w:lang w:val="en-US" w:eastAsia="zh-CN"/>
              </w:rPr>
              <w:t xml:space="preserve">）</w:t>
            </w:r>
            <w:r/>
          </w:p>
          <w:p>
            <w:pPr>
              <w:pStyle w:val="849"/>
              <w:ind w:firstLine="420"/>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注：以上演示方案内容完整得3分，每有一项缺失或演示内容不符合项目特征的该项得0分。</w:t>
            </w:r>
            <w:r/>
          </w:p>
          <w:p>
            <w:pPr>
              <w:pStyle w:val="849"/>
              <w:ind w:firstLine="420"/>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（3）工单统计：系统支持对链路故障工单状态进行统计（包括维修中、已完成、超时）。（0~4</w:t>
            </w:r>
            <w:r>
              <w:rPr>
                <w:rFonts w:hint="eastAsia" w:ascii="仿宋" w:hAnsi="仿宋" w:eastAsia="仿宋" w:cs="仿宋"/>
                <w:color w:val="auto"/>
                <w:highlight w:val="none"/>
                <w:lang w:val="en-US" w:eastAsia="zh-CN"/>
              </w:rPr>
              <w:t xml:space="preserve">分</w:t>
            </w:r>
            <w:r>
              <w:rPr>
                <w:rFonts w:hint="default" w:ascii="仿宋" w:hAnsi="仿宋" w:eastAsia="仿宋" w:cs="仿宋"/>
                <w:color w:val="auto"/>
                <w:highlight w:val="none"/>
                <w:lang w:val="en-US" w:eastAsia="zh-CN"/>
              </w:rPr>
              <w:t xml:space="preserve">）</w:t>
            </w:r>
            <w:r/>
          </w:p>
          <w:p>
            <w:pPr>
              <w:pStyle w:val="849"/>
              <w:ind w:firstLine="420"/>
              <w:rPr>
                <w:rFonts w:hint="eastAsia"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注：以上演示方案内容完整得4分，每有一项缺失或演示内容不符合项目特征的该项得0分。</w:t>
            </w:r>
            <w:r/>
          </w:p>
        </w:tc>
      </w:tr>
      <w:tr>
        <w:trPr>
          <w:jc w:val="center"/>
          <w:trHeight w:val="212"/>
        </w:trPr>
        <w:tc>
          <w:tcPr>
            <w:tcBorders>
              <w:left w:val="single" w:color="auto" w:sz="4" w:space="0"/>
              <w:right w:val="single" w:color="auto" w:sz="4" w:space="0"/>
            </w:tcBorders>
            <w:tcW w:w="575" w:type="dxa"/>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三</w:t>
            </w:r>
            <w:r/>
          </w:p>
        </w:tc>
        <w:tc>
          <w:tcPr>
            <w:tcBorders>
              <w:left w:val="single" w:color="auto" w:sz="4" w:space="0"/>
              <w:right w:val="single" w:color="auto" w:sz="4" w:space="0"/>
            </w:tcBorders>
            <w:tcW w:w="1118" w:type="dxa"/>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履约能力</w:t>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rPr>
            </w:pPr>
            <w:r/>
            <w:bookmarkStart w:id="185" w:name="OLE_LINK27"/>
            <w:r>
              <w:rPr>
                <w:rFonts w:hint="eastAsia" w:ascii="仿宋" w:hAnsi="仿宋" w:eastAsia="仿宋" w:cs="仿宋"/>
                <w:b w:val="0"/>
                <w:bCs w:val="0"/>
                <w:color w:val="auto"/>
                <w:highlight w:val="none"/>
                <w:lang w:val="en-US" w:eastAsia="zh-CN"/>
              </w:rPr>
              <w:t xml:space="preserve">企业资信</w:t>
            </w:r>
            <w:bookmarkEnd w:id="185"/>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7</w:t>
            </w:r>
            <w:r/>
          </w:p>
        </w:tc>
        <w:tc>
          <w:tcPr>
            <w:tcBorders>
              <w:top w:val="single" w:color="auto" w:sz="4" w:space="0"/>
              <w:left w:val="single" w:color="auto" w:sz="4" w:space="0"/>
              <w:right w:val="single" w:color="auto" w:sz="4" w:space="0"/>
            </w:tcBorders>
            <w:tcW w:w="5288" w:type="dxa"/>
            <w:vAlign w:val="center"/>
            <w:textDirection w:val="lrTb"/>
            <w:noWrap w:val="false"/>
          </w:tcPr>
          <w:p>
            <w:pPr>
              <w:ind w:firstLine="420"/>
              <w:jc w:val="left"/>
              <w:spacing w:line="300" w:lineRule="exact"/>
              <w:rPr>
                <w:rFonts w:hint="default" w:ascii="仿宋" w:hAnsi="仿宋" w:eastAsia="仿宋" w:cs="仿宋"/>
                <w:b/>
                <w:bCs/>
                <w:color w:val="auto"/>
                <w:szCs w:val="21"/>
                <w:highlight w:val="none"/>
                <w:lang w:val="en-US" w:eastAsia="zh-CN"/>
              </w:rPr>
            </w:pPr>
            <w:r/>
            <w:bookmarkStart w:id="186" w:name="OLE_LINK28"/>
            <w:r>
              <w:rPr>
                <w:rFonts w:hint="eastAsia" w:ascii="仿宋" w:hAnsi="仿宋" w:eastAsia="仿宋" w:cs="仿宋"/>
                <w:b/>
                <w:bCs/>
                <w:color w:val="auto"/>
                <w:szCs w:val="21"/>
                <w:highlight w:val="none"/>
                <w:lang w:val="en-US" w:eastAsia="zh-CN"/>
              </w:rPr>
              <w:t xml:space="preserve">1.投标人或其母公司（含上级单位）具有《增值电信业务经营许可证》，且经营许可范围中包含互联网数据中心业务或互联网接入服务业务（需提供资质证书复印件加盖公章，资质在有效期内），得2分；未提供共或资质不符合上述要求的，不得分。</w:t>
            </w:r>
            <w:r/>
          </w:p>
          <w:p>
            <w:pPr>
              <w:ind w:firstLine="420"/>
              <w:jc w:val="left"/>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2.投标人具有有效的IS9001质量管理体系认证、ISO14001环境管理体系认证、ISO45001职业健康安全管理体系认证、ISO20000信息技术服务管理体系认证、ISO27001信息安全管理体系认证证书，每提供1个有效证书得1分，本项最高得5分。</w:t>
            </w:r>
            <w:r/>
          </w:p>
          <w:p>
            <w:pPr>
              <w:ind w:firstLine="420"/>
              <w:jc w:val="left"/>
              <w:spacing w:line="300" w:lineRule="exact"/>
              <w:rPr>
                <w:rFonts w:hint="default"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注：投标文件中需提供以上有效证书扫描件，须同时提供全国认证认可信息公共服务平台官网（网址：http://cx.cnca.cn/）证书信息查询截图，否则该项不得分。</w:t>
            </w:r>
            <w:bookmarkEnd w:id="186"/>
            <w:r/>
            <w:r/>
          </w:p>
        </w:tc>
      </w:tr>
      <w:tr>
        <w:trPr>
          <w:jc w:val="center"/>
          <w:trHeight w:val="755"/>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人员配置</w:t>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none"/>
              </w:rPr>
            </w:pPr>
            <w:r>
              <w:rPr>
                <w:rFonts w:hint="eastAsia" w:ascii="仿宋" w:hAnsi="仿宋" w:eastAsia="仿宋" w:cs="仿宋"/>
                <w:b w:val="0"/>
                <w:bCs w:val="0"/>
                <w:color w:val="auto"/>
                <w:highlight w:val="none"/>
                <w:lang w:val="en-US" w:eastAsia="zh-CN"/>
              </w:rPr>
              <w:t xml:space="preserve">7</w:t>
            </w:r>
            <w:r/>
          </w:p>
        </w:tc>
        <w:tc>
          <w:tcPr>
            <w:tcBorders>
              <w:left w:val="single" w:color="auto" w:sz="4" w:space="0"/>
              <w:right w:val="single" w:color="auto" w:sz="4" w:space="0"/>
            </w:tcBorders>
            <w:tcW w:w="5288" w:type="dxa"/>
            <w:vAlign w:val="center"/>
            <w:textDirection w:val="lrTb"/>
            <w:noWrap w:val="false"/>
          </w:tcPr>
          <w:p>
            <w:pPr>
              <w:contextualSpacing/>
              <w:jc w:val="both"/>
              <w:rPr>
                <w:rFonts w:hint="eastAsia" w:ascii="仿宋" w:hAnsi="仿宋" w:eastAsia="仿宋" w:cs="仿宋"/>
                <w:b/>
                <w:bCs w:val="0"/>
                <w:color w:val="auto"/>
                <w:sz w:val="21"/>
                <w:szCs w:val="21"/>
                <w:highlight w:val="none"/>
              </w:rPr>
            </w:pPr>
            <w:r/>
            <w:bookmarkStart w:id="187" w:name="OLE_LINK30"/>
            <w:r>
              <w:rPr>
                <w:rFonts w:hint="eastAsia" w:ascii="仿宋" w:hAnsi="仿宋" w:eastAsia="仿宋" w:cs="仿宋"/>
                <w:b/>
                <w:bCs w:val="0"/>
                <w:color w:val="auto"/>
                <w:sz w:val="21"/>
                <w:szCs w:val="21"/>
                <w:highlight w:val="none"/>
                <w:lang w:val="en-US" w:eastAsia="zh-CN"/>
              </w:rPr>
              <w:t xml:space="preserve">1.</w:t>
            </w:r>
            <w:r>
              <w:rPr>
                <w:rFonts w:hint="eastAsia" w:ascii="仿宋" w:hAnsi="仿宋" w:eastAsia="仿宋" w:cs="仿宋"/>
                <w:b/>
                <w:bCs w:val="0"/>
                <w:color w:val="auto"/>
                <w:sz w:val="21"/>
                <w:szCs w:val="21"/>
                <w:highlight w:val="none"/>
              </w:rPr>
              <w:t xml:space="preserve">项目</w:t>
            </w:r>
            <w:r>
              <w:rPr>
                <w:rFonts w:hint="eastAsia" w:ascii="仿宋" w:hAnsi="仿宋" w:eastAsia="仿宋" w:cs="仿宋"/>
                <w:b/>
                <w:bCs w:val="0"/>
                <w:color w:val="auto"/>
                <w:sz w:val="21"/>
                <w:szCs w:val="21"/>
                <w:highlight w:val="none"/>
                <w:lang w:val="en-US" w:eastAsia="zh-CN"/>
              </w:rPr>
              <w:t xml:space="preserve">负责人：</w:t>
            </w:r>
            <w:r/>
          </w:p>
          <w:p>
            <w:pPr>
              <w:ind w:firstLine="420"/>
              <w:jc w:val="left"/>
              <w:widowControl/>
              <w:rPr>
                <w:rFonts w:hint="eastAsia" w:ascii="仿宋" w:hAnsi="仿宋" w:eastAsia="仿宋" w:cs="仿宋"/>
                <w:bCs/>
                <w:color w:val="auto"/>
                <w:sz w:val="21"/>
                <w:szCs w:val="21"/>
                <w:highlight w:val="none"/>
                <w:lang w:val="en-US" w:eastAsia="zh-CN"/>
              </w:rPr>
            </w:pPr>
            <w:r>
              <w:rPr>
                <w:rFonts w:hint="eastAsia" w:ascii="仿宋" w:hAnsi="仿宋" w:eastAsia="仿宋" w:cs="仿宋"/>
                <w:color w:val="auto"/>
                <w:sz w:val="21"/>
                <w:szCs w:val="21"/>
                <w:highlight w:val="none"/>
                <w:lang w:val="zh-CN" w:bidi="ar"/>
              </w:rPr>
              <w:t xml:space="preserve">投标人针对本项目拟派的项目负责人</w:t>
            </w:r>
            <w:r>
              <w:rPr>
                <w:rFonts w:hint="eastAsia" w:ascii="仿宋" w:hAnsi="仿宋" w:eastAsia="仿宋" w:cs="仿宋"/>
                <w:bCs/>
                <w:color w:val="auto"/>
                <w:sz w:val="21"/>
                <w:szCs w:val="21"/>
                <w:highlight w:val="none"/>
              </w:rPr>
              <w:t xml:space="preserve">具有</w:t>
            </w:r>
            <w:r>
              <w:rPr>
                <w:rFonts w:hint="eastAsia" w:ascii="仿宋" w:hAnsi="仿宋" w:eastAsia="仿宋" w:cs="仿宋"/>
                <w:bCs/>
                <w:color w:val="auto"/>
                <w:sz w:val="21"/>
                <w:szCs w:val="21"/>
                <w:highlight w:val="none"/>
                <w:lang w:eastAsia="zh-CN"/>
              </w:rPr>
              <w:t xml:space="preserve">高级</w:t>
            </w:r>
            <w:r>
              <w:rPr>
                <w:rFonts w:hint="eastAsia" w:ascii="仿宋" w:hAnsi="仿宋" w:eastAsia="仿宋" w:cs="仿宋"/>
                <w:bCs/>
                <w:color w:val="auto"/>
                <w:sz w:val="21"/>
                <w:szCs w:val="21"/>
                <w:highlight w:val="none"/>
              </w:rPr>
              <w:t xml:space="preserve">信息系统项目管理师认证证书、</w:t>
            </w:r>
            <w:r>
              <w:rPr>
                <w:rFonts w:hint="eastAsia" w:ascii="仿宋" w:hAnsi="仿宋" w:eastAsia="仿宋" w:cs="仿宋"/>
                <w:bCs/>
                <w:color w:val="auto"/>
                <w:sz w:val="21"/>
                <w:szCs w:val="21"/>
                <w:highlight w:val="none"/>
                <w:lang w:eastAsia="zh-CN"/>
              </w:rPr>
              <w:t xml:space="preserve">高级工程师、</w:t>
            </w:r>
            <w:r>
              <w:rPr>
                <w:rFonts w:hint="eastAsia" w:ascii="仿宋" w:hAnsi="仿宋" w:eastAsia="仿宋" w:cs="仿宋"/>
                <w:color w:val="auto"/>
                <w:sz w:val="21"/>
                <w:szCs w:val="21"/>
                <w:highlight w:val="none"/>
                <w:lang w:val="en-US" w:eastAsia="zh-CN" w:bidi="ar-SA"/>
              </w:rPr>
              <w:t xml:space="preserve">注册信息安全专业人员证书（CISP）、</w:t>
            </w:r>
            <w:r>
              <w:rPr>
                <w:rFonts w:hint="eastAsia" w:ascii="仿宋" w:hAnsi="仿宋" w:eastAsia="仿宋" w:cs="仿宋"/>
                <w:color w:val="auto"/>
                <w:sz w:val="21"/>
                <w:szCs w:val="21"/>
                <w:highlight w:val="none"/>
                <w:lang w:val="zh-CN" w:bidi="ar"/>
              </w:rPr>
              <w:t xml:space="preserve">IT服务项目经理(ITSS)</w:t>
            </w:r>
            <w:r>
              <w:rPr>
                <w:rFonts w:hint="eastAsia" w:ascii="仿宋" w:hAnsi="仿宋" w:eastAsia="仿宋" w:cs="仿宋"/>
                <w:bCs/>
                <w:color w:val="auto"/>
                <w:sz w:val="21"/>
                <w:szCs w:val="21"/>
                <w:highlight w:val="none"/>
              </w:rPr>
              <w:t xml:space="preserve">，每</w:t>
            </w:r>
            <w:r>
              <w:rPr>
                <w:rFonts w:hint="eastAsia" w:ascii="仿宋" w:hAnsi="仿宋" w:eastAsia="仿宋" w:cs="仿宋"/>
                <w:bCs/>
                <w:color w:val="auto"/>
                <w:sz w:val="21"/>
                <w:szCs w:val="21"/>
                <w:highlight w:val="none"/>
                <w:lang w:val="en-US" w:eastAsia="zh-CN"/>
              </w:rPr>
              <w:t xml:space="preserve">提供一</w:t>
            </w:r>
            <w:r>
              <w:rPr>
                <w:rFonts w:hint="eastAsia" w:ascii="仿宋" w:hAnsi="仿宋" w:eastAsia="仿宋" w:cs="仿宋"/>
                <w:bCs/>
                <w:color w:val="auto"/>
                <w:sz w:val="21"/>
                <w:szCs w:val="21"/>
                <w:highlight w:val="none"/>
              </w:rPr>
              <w:t xml:space="preserve">项</w:t>
            </w:r>
            <w:r>
              <w:rPr>
                <w:rFonts w:hint="eastAsia" w:ascii="仿宋" w:hAnsi="仿宋" w:eastAsia="仿宋" w:cs="仿宋"/>
                <w:bCs/>
                <w:color w:val="auto"/>
                <w:sz w:val="21"/>
                <w:szCs w:val="21"/>
                <w:highlight w:val="none"/>
                <w:lang w:val="en-US" w:eastAsia="zh-CN"/>
              </w:rPr>
              <w:t xml:space="preserve">有效证书</w:t>
            </w:r>
            <w:r>
              <w:rPr>
                <w:rFonts w:hint="eastAsia" w:ascii="仿宋" w:hAnsi="仿宋" w:eastAsia="仿宋" w:cs="仿宋"/>
                <w:bCs/>
                <w:color w:val="auto"/>
                <w:sz w:val="21"/>
                <w:szCs w:val="21"/>
                <w:highlight w:val="none"/>
              </w:rPr>
              <w:t xml:space="preserve">得1分</w:t>
            </w:r>
            <w:r>
              <w:rPr>
                <w:rFonts w:hint="eastAsia" w:ascii="仿宋" w:hAnsi="仿宋" w:eastAsia="仿宋" w:cs="仿宋"/>
                <w:bCs/>
                <w:color w:val="auto"/>
                <w:sz w:val="21"/>
                <w:szCs w:val="21"/>
                <w:highlight w:val="none"/>
                <w:lang w:eastAsia="zh-CN"/>
              </w:rPr>
              <w:t xml:space="preserve">，满分</w:t>
            </w:r>
            <w:r>
              <w:rPr>
                <w:rFonts w:hint="eastAsia" w:ascii="仿宋" w:hAnsi="仿宋" w:eastAsia="仿宋" w:cs="仿宋"/>
                <w:bCs/>
                <w:color w:val="auto"/>
                <w:sz w:val="21"/>
                <w:szCs w:val="21"/>
                <w:highlight w:val="none"/>
                <w:lang w:val="en-US" w:eastAsia="zh-CN"/>
              </w:rPr>
              <w:t xml:space="preserve">4分。</w:t>
            </w:r>
            <w:r/>
          </w:p>
          <w:p>
            <w:pPr>
              <w:contextualSpacing/>
              <w:jc w:val="both"/>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lang w:val="en-US" w:eastAsia="zh-CN"/>
              </w:rPr>
              <w:t xml:space="preserve">2.项目组成员（不包括项目负责人）：</w:t>
            </w:r>
            <w:r/>
          </w:p>
          <w:p>
            <w:pPr>
              <w:ind w:firstLine="420"/>
              <w:jc w:val="left"/>
              <w:widowControl/>
              <w:rPr>
                <w:rFonts w:hint="default" w:ascii="仿宋" w:hAnsi="仿宋" w:eastAsia="仿宋" w:cs="仿宋"/>
                <w:b/>
                <w:bCs w:val="0"/>
                <w:color w:val="auto"/>
                <w:sz w:val="21"/>
                <w:szCs w:val="21"/>
                <w:highlight w:val="yellow"/>
                <w:lang w:val="en-US" w:eastAsia="zh-CN"/>
              </w:rPr>
            </w:pPr>
            <w:r>
              <w:rPr>
                <w:rFonts w:hint="eastAsia" w:ascii="仿宋" w:hAnsi="仿宋" w:eastAsia="仿宋" w:cs="仿宋"/>
                <w:color w:val="auto"/>
                <w:sz w:val="21"/>
                <w:szCs w:val="21"/>
                <w:highlight w:val="none"/>
                <w:lang w:val="en-US" w:eastAsia="zh-CN" w:bidi="ar-SA"/>
              </w:rPr>
              <w:t xml:space="preserve">项目组成员中具有信息安全保障人员认证证书（CISAW）、系统集成项目管理工程师、网络规划设计师，每提供一项有效证书得1分，满分3分。</w:t>
            </w:r>
            <w:r/>
          </w:p>
          <w:p>
            <w:pPr>
              <w:ind w:firstLine="422"/>
              <w:jc w:val="left"/>
              <w:spacing w:line="300" w:lineRule="exact"/>
              <w:rPr>
                <w:rFonts w:hint="eastAsia" w:ascii="仿宋" w:hAnsi="仿宋" w:eastAsia="仿宋" w:cs="仿宋"/>
                <w:color w:val="auto"/>
                <w:sz w:val="21"/>
                <w:szCs w:val="24"/>
                <w:highlight w:val="none"/>
              </w:rPr>
            </w:pPr>
            <w:r>
              <w:rPr>
                <w:rFonts w:hint="eastAsia" w:ascii="仿宋" w:hAnsi="仿宋" w:eastAsia="仿宋" w:cs="仿宋"/>
                <w:b/>
                <w:bCs/>
                <w:color w:val="auto"/>
                <w:sz w:val="21"/>
                <w:szCs w:val="21"/>
                <w:highlight w:val="none"/>
                <w:lang w:val="zh-CN" w:bidi="ar"/>
              </w:rPr>
              <w:t xml:space="preserve">注：</w:t>
            </w:r>
            <w:r>
              <w:rPr>
                <w:rFonts w:hint="eastAsia" w:ascii="仿宋" w:hAnsi="仿宋" w:eastAsia="仿宋" w:cs="仿宋"/>
                <w:b/>
                <w:bCs/>
                <w:color w:val="auto"/>
                <w:sz w:val="21"/>
                <w:szCs w:val="21"/>
                <w:highlight w:val="none"/>
                <w:lang w:val="en-US" w:eastAsia="zh-CN" w:bidi="ar"/>
              </w:rPr>
              <w:t xml:space="preserve">提供项目组成员一览表、相关</w:t>
            </w:r>
            <w:r>
              <w:rPr>
                <w:rFonts w:hint="eastAsia" w:ascii="仿宋" w:hAnsi="仿宋" w:eastAsia="仿宋" w:cs="仿宋"/>
                <w:b/>
                <w:bCs/>
                <w:color w:val="auto"/>
                <w:sz w:val="21"/>
                <w:szCs w:val="21"/>
                <w:highlight w:val="none"/>
                <w:lang w:val="zh-CN" w:bidi="ar"/>
              </w:rPr>
              <w:t xml:space="preserve">证书（证书需在有效期内）</w:t>
            </w:r>
            <w:r>
              <w:rPr>
                <w:rFonts w:hint="eastAsia" w:ascii="仿宋" w:hAnsi="仿宋" w:eastAsia="仿宋" w:cs="仿宋"/>
                <w:b/>
                <w:bCs/>
                <w:color w:val="auto"/>
                <w:sz w:val="21"/>
                <w:szCs w:val="21"/>
                <w:highlight w:val="none"/>
                <w:lang w:val="en-US" w:eastAsia="zh-CN" w:bidi="ar"/>
              </w:rPr>
              <w:t xml:space="preserve">扫描</w:t>
            </w:r>
            <w:r>
              <w:rPr>
                <w:rFonts w:hint="eastAsia" w:ascii="仿宋" w:hAnsi="仿宋" w:eastAsia="仿宋" w:cs="仿宋"/>
                <w:b/>
                <w:bCs/>
                <w:color w:val="auto"/>
                <w:sz w:val="21"/>
                <w:szCs w:val="21"/>
                <w:highlight w:val="none"/>
                <w:lang w:val="zh-CN" w:bidi="ar"/>
              </w:rPr>
              <w:t xml:space="preserve">件和本单位为其缴纳的社保证明（从投标截止日当月向前3个月内任意一个月的</w:t>
            </w:r>
            <w:r>
              <w:rPr>
                <w:rFonts w:hint="eastAsia" w:ascii="仿宋" w:hAnsi="仿宋" w:eastAsia="仿宋" w:cs="仿宋"/>
                <w:b/>
                <w:bCs/>
                <w:color w:val="auto"/>
                <w:sz w:val="21"/>
                <w:szCs w:val="21"/>
                <w:highlight w:val="none"/>
                <w:lang w:val="en-US" w:eastAsia="zh-CN" w:bidi="ar"/>
              </w:rPr>
              <w:t xml:space="preserve">缴费记录</w:t>
            </w:r>
            <w:r>
              <w:rPr>
                <w:rFonts w:hint="eastAsia" w:ascii="仿宋" w:hAnsi="仿宋" w:eastAsia="仿宋" w:cs="仿宋"/>
                <w:b/>
                <w:bCs/>
                <w:color w:val="auto"/>
                <w:sz w:val="21"/>
                <w:szCs w:val="21"/>
                <w:highlight w:val="none"/>
                <w:lang w:val="zh-CN" w:bidi="ar"/>
              </w:rPr>
              <w:t xml:space="preserve">）材料</w:t>
            </w:r>
            <w:r>
              <w:rPr>
                <w:rFonts w:hint="eastAsia" w:ascii="仿宋" w:hAnsi="仿宋" w:eastAsia="仿宋" w:cs="仿宋"/>
                <w:b/>
                <w:bCs/>
                <w:color w:val="auto"/>
                <w:sz w:val="21"/>
                <w:szCs w:val="21"/>
                <w:highlight w:val="none"/>
                <w:lang w:val="en-US" w:eastAsia="zh-CN" w:bidi="ar"/>
              </w:rPr>
              <w:t xml:space="preserve">并</w:t>
            </w:r>
            <w:r>
              <w:rPr>
                <w:rFonts w:hint="eastAsia" w:ascii="仿宋" w:hAnsi="仿宋" w:eastAsia="仿宋" w:cs="仿宋"/>
                <w:b/>
                <w:bCs/>
                <w:color w:val="auto"/>
                <w:sz w:val="21"/>
                <w:szCs w:val="21"/>
                <w:highlight w:val="none"/>
                <w:lang w:val="zh-CN" w:bidi="ar"/>
              </w:rPr>
              <w:t xml:space="preserve">加盖投标人</w:t>
            </w:r>
            <w:r>
              <w:rPr>
                <w:rFonts w:hint="eastAsia" w:ascii="仿宋" w:hAnsi="仿宋" w:eastAsia="仿宋" w:cs="仿宋"/>
                <w:b/>
                <w:bCs/>
                <w:color w:val="auto"/>
                <w:sz w:val="21"/>
                <w:szCs w:val="21"/>
                <w:highlight w:val="none"/>
                <w:lang w:val="en-US" w:eastAsia="zh-CN" w:bidi="ar"/>
              </w:rPr>
              <w:t xml:space="preserve">章印。</w:t>
            </w:r>
            <w:bookmarkEnd w:id="187"/>
            <w:r/>
            <w:r/>
          </w:p>
        </w:tc>
      </w:tr>
      <w:tr>
        <w:trPr>
          <w:jc w:val="center"/>
          <w:trHeight w:val="564"/>
        </w:trPr>
        <w:tc>
          <w:tcPr>
            <w:tcBorders>
              <w:left w:val="single" w:color="auto" w:sz="4" w:space="0"/>
              <w:right w:val="single" w:color="auto" w:sz="4" w:space="0"/>
            </w:tcBorders>
            <w:tcW w:w="57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lang w:val="en-US" w:eastAsia="zh-CN"/>
              </w:rPr>
              <w:t xml:space="preserve">四</w:t>
            </w:r>
            <w:r/>
          </w:p>
        </w:tc>
        <w:tc>
          <w:tcPr>
            <w:tcBorders>
              <w:left w:val="single" w:color="auto" w:sz="4" w:space="0"/>
              <w:right w:val="single" w:color="auto" w:sz="4" w:space="0"/>
            </w:tcBorders>
            <w:tcW w:w="1118" w:type="dxa"/>
            <w:vAlign w:val="center"/>
            <w:textDirection w:val="lrTb"/>
            <w:noWrap w:val="false"/>
          </w:tcPr>
          <w:p>
            <w:pPr>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类似业绩</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sz w:val="21"/>
                <w:szCs w:val="24"/>
                <w:highlight w:val="none"/>
              </w:rPr>
            </w:pPr>
            <w:r/>
            <w:bookmarkStart w:id="188" w:name="OLE_LINK35"/>
            <w:r>
              <w:rPr>
                <w:rFonts w:hint="eastAsia" w:ascii="仿宋" w:hAnsi="仿宋" w:eastAsia="仿宋" w:cs="仿宋"/>
                <w:b w:val="0"/>
                <w:bCs w:val="0"/>
                <w:color w:val="auto"/>
                <w:highlight w:val="none"/>
                <w:lang w:val="en-US" w:eastAsia="zh-CN"/>
              </w:rPr>
              <w:t xml:space="preserve">业绩</w:t>
            </w:r>
            <w:bookmarkEnd w:id="188"/>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none"/>
              </w:rPr>
            </w:pPr>
            <w:r>
              <w:rPr>
                <w:rFonts w:hint="eastAsia" w:ascii="仿宋" w:hAnsi="仿宋" w:eastAsia="仿宋" w:cs="仿宋"/>
                <w:b w:val="0"/>
                <w:bCs w:val="0"/>
                <w:color w:val="auto"/>
                <w:highlight w:val="none"/>
                <w:lang w:val="en-US" w:eastAsia="zh-CN"/>
              </w:rPr>
              <w:t xml:space="preserve">6</w:t>
            </w:r>
            <w:r/>
          </w:p>
        </w:tc>
        <w:tc>
          <w:tcPr>
            <w:tcBorders>
              <w:left w:val="single" w:color="auto" w:sz="4" w:space="0"/>
              <w:right w:val="single" w:color="auto" w:sz="4" w:space="0"/>
            </w:tcBorders>
            <w:tcW w:w="5288" w:type="dxa"/>
            <w:vAlign w:val="center"/>
            <w:textDirection w:val="lrTb"/>
            <w:noWrap w:val="false"/>
          </w:tcPr>
          <w:p>
            <w:pPr>
              <w:ind w:firstLine="420"/>
              <w:jc w:val="left"/>
              <w:keepLines w:val="0"/>
              <w:keepNext w:val="0"/>
              <w:pageBreakBefore w:val="0"/>
              <w:rPr>
                <w:rFonts w:hint="eastAsia" w:ascii="仿宋" w:hAnsi="仿宋" w:eastAsia="仿宋" w:cs="仿宋"/>
                <w:b w:val="0"/>
                <w:bCs w:val="0"/>
                <w:color w:val="auto"/>
                <w:sz w:val="21"/>
                <w:szCs w:val="21"/>
                <w:highlight w:val="none"/>
              </w:rPr>
            </w:pPr>
            <w:r/>
            <w:bookmarkStart w:id="189" w:name="OLE_LINK36"/>
            <w:r>
              <w:rPr>
                <w:rFonts w:hint="eastAsia" w:ascii="仿宋" w:hAnsi="仿宋" w:eastAsia="仿宋" w:cs="仿宋"/>
                <w:b w:val="0"/>
                <w:bCs w:val="0"/>
                <w:color w:val="auto"/>
                <w:sz w:val="21"/>
                <w:szCs w:val="21"/>
                <w:highlight w:val="none"/>
                <w:lang w:val="en-US" w:eastAsia="zh-CN"/>
              </w:rPr>
              <w:t xml:space="preserve">投标人自2022年1月1日以来</w:t>
            </w:r>
            <w:r>
              <w:rPr>
                <w:rFonts w:hint="eastAsia" w:ascii="仿宋" w:hAnsi="仿宋" w:eastAsia="仿宋" w:cs="仿宋"/>
                <w:b w:val="0"/>
                <w:bCs w:val="0"/>
                <w:color w:val="auto"/>
                <w:sz w:val="21"/>
                <w:szCs w:val="21"/>
                <w:highlight w:val="none"/>
              </w:rPr>
              <w:t xml:space="preserve">（以合同签订日期为准）投标人承担过类似项目</w:t>
            </w:r>
            <w:r>
              <w:rPr>
                <w:rFonts w:hint="eastAsia" w:ascii="仿宋" w:hAnsi="仿宋" w:eastAsia="仿宋" w:cs="仿宋"/>
                <w:b w:val="0"/>
                <w:bCs w:val="0"/>
                <w:color w:val="auto"/>
                <w:sz w:val="21"/>
                <w:szCs w:val="21"/>
                <w:highlight w:val="none"/>
                <w:lang w:eastAsia="zh-CN"/>
              </w:rPr>
              <w:t xml:space="preserve">的</w:t>
            </w:r>
            <w:r>
              <w:rPr>
                <w:rFonts w:hint="eastAsia" w:ascii="仿宋" w:hAnsi="仿宋" w:eastAsia="仿宋" w:cs="仿宋"/>
                <w:b w:val="0"/>
                <w:bCs w:val="0"/>
                <w:color w:val="auto"/>
                <w:sz w:val="21"/>
                <w:szCs w:val="21"/>
                <w:highlight w:val="none"/>
                <w:lang w:val="en-US" w:eastAsia="zh-CN"/>
              </w:rPr>
              <w:t xml:space="preserve">成功案例</w:t>
            </w:r>
            <w:r>
              <w:rPr>
                <w:rFonts w:hint="eastAsia" w:ascii="仿宋" w:hAnsi="仿宋" w:eastAsia="仿宋" w:cs="仿宋"/>
                <w:b w:val="0"/>
                <w:bCs w:val="0"/>
                <w:color w:val="auto"/>
                <w:sz w:val="21"/>
                <w:szCs w:val="21"/>
                <w:highlight w:val="none"/>
                <w:lang w:eastAsia="zh-CN"/>
              </w:rPr>
              <w:t xml:space="preserve">，每提供</w:t>
            </w:r>
            <w:r>
              <w:rPr>
                <w:rFonts w:hint="eastAsia" w:ascii="仿宋" w:hAnsi="仿宋" w:eastAsia="仿宋" w:cs="仿宋"/>
                <w:b w:val="0"/>
                <w:bCs w:val="0"/>
                <w:color w:val="auto"/>
                <w:sz w:val="21"/>
                <w:szCs w:val="21"/>
                <w:highlight w:val="none"/>
                <w:lang w:val="en-US" w:eastAsia="zh-CN"/>
              </w:rPr>
              <w:t xml:space="preserve">一</w:t>
            </w:r>
            <w:r>
              <w:rPr>
                <w:rFonts w:hint="eastAsia" w:ascii="仿宋" w:hAnsi="仿宋" w:eastAsia="仿宋" w:cs="仿宋"/>
                <w:b w:val="0"/>
                <w:bCs w:val="0"/>
                <w:color w:val="auto"/>
                <w:sz w:val="21"/>
                <w:szCs w:val="21"/>
                <w:highlight w:val="none"/>
                <w:lang w:eastAsia="zh-CN"/>
              </w:rPr>
              <w:t xml:space="preserve">份有效</w:t>
            </w:r>
            <w:r>
              <w:rPr>
                <w:rFonts w:hint="eastAsia" w:ascii="仿宋" w:hAnsi="仿宋" w:eastAsia="仿宋" w:cs="仿宋"/>
                <w:b w:val="0"/>
                <w:bCs w:val="0"/>
                <w:color w:val="auto"/>
                <w:sz w:val="21"/>
                <w:szCs w:val="21"/>
                <w:highlight w:val="none"/>
                <w:lang w:val="en-US" w:eastAsia="zh-CN"/>
              </w:rPr>
              <w:t xml:space="preserve">业绩</w:t>
            </w:r>
            <w:r>
              <w:rPr>
                <w:rFonts w:hint="eastAsia" w:ascii="仿宋" w:hAnsi="仿宋" w:eastAsia="仿宋" w:cs="仿宋"/>
                <w:b w:val="0"/>
                <w:bCs w:val="0"/>
                <w:color w:val="auto"/>
                <w:sz w:val="21"/>
                <w:szCs w:val="21"/>
                <w:highlight w:val="none"/>
                <w:lang w:eastAsia="zh-CN"/>
              </w:rPr>
              <w:t xml:space="preserve">得</w:t>
            </w:r>
            <w:r>
              <w:rPr>
                <w:rFonts w:hint="eastAsia" w:ascii="仿宋" w:hAnsi="仿宋" w:eastAsia="仿宋" w:cs="仿宋"/>
                <w:b w:val="0"/>
                <w:bCs w:val="0"/>
                <w:color w:val="auto"/>
                <w:sz w:val="21"/>
                <w:szCs w:val="21"/>
                <w:highlight w:val="none"/>
                <w:lang w:val="en-US" w:eastAsia="zh-CN"/>
              </w:rPr>
              <w:t xml:space="preserve">3</w:t>
            </w:r>
            <w:r>
              <w:rPr>
                <w:rFonts w:hint="eastAsia" w:ascii="仿宋" w:hAnsi="仿宋" w:eastAsia="仿宋" w:cs="仿宋"/>
                <w:b w:val="0"/>
                <w:bCs w:val="0"/>
                <w:color w:val="auto"/>
                <w:sz w:val="21"/>
                <w:szCs w:val="21"/>
                <w:highlight w:val="none"/>
                <w:lang w:eastAsia="zh-CN"/>
              </w:rPr>
              <w:t xml:space="preserve">分，本项最多得</w:t>
            </w:r>
            <w:r>
              <w:rPr>
                <w:rFonts w:hint="eastAsia" w:ascii="仿宋" w:hAnsi="仿宋" w:eastAsia="仿宋" w:cs="仿宋"/>
                <w:b w:val="0"/>
                <w:bCs w:val="0"/>
                <w:color w:val="auto"/>
                <w:sz w:val="21"/>
                <w:szCs w:val="21"/>
                <w:highlight w:val="none"/>
                <w:lang w:val="en-US" w:eastAsia="zh-CN"/>
              </w:rPr>
              <w:t xml:space="preserve">6</w:t>
            </w:r>
            <w:r>
              <w:rPr>
                <w:rFonts w:hint="eastAsia" w:ascii="仿宋" w:hAnsi="仿宋" w:eastAsia="仿宋" w:cs="仿宋"/>
                <w:b w:val="0"/>
                <w:bCs w:val="0"/>
                <w:color w:val="auto"/>
                <w:sz w:val="21"/>
                <w:szCs w:val="21"/>
                <w:highlight w:val="none"/>
                <w:lang w:eastAsia="zh-CN"/>
              </w:rPr>
              <w:t xml:space="preserve">分。</w:t>
            </w:r>
            <w:r/>
          </w:p>
          <w:p>
            <w:pPr>
              <w:ind w:firstLine="420"/>
              <w:jc w:val="left"/>
              <w:keepLines w:val="0"/>
              <w:keepNext w:val="0"/>
              <w:pageBreakBefore w:val="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注：①本项需自行拟制业绩汇总表；</w:t>
            </w:r>
            <w:r/>
          </w:p>
          <w:p>
            <w:pPr>
              <w:ind w:firstLine="840"/>
              <w:jc w:val="left"/>
              <w:keepLines w:val="0"/>
              <w:keepNext w:val="0"/>
              <w:pageBreakBefore w:val="0"/>
              <w:rPr>
                <w:rFonts w:hint="eastAsia" w:ascii="仿宋" w:hAnsi="仿宋" w:eastAsia="仿宋" w:cs="仿宋"/>
                <w:color w:val="auto"/>
                <w:sz w:val="21"/>
                <w:szCs w:val="24"/>
                <w:highlight w:val="none"/>
              </w:rPr>
            </w:pPr>
            <w:r>
              <w:rPr>
                <w:rFonts w:hint="eastAsia" w:ascii="仿宋" w:hAnsi="仿宋" w:eastAsia="仿宋" w:cs="仿宋"/>
                <w:b w:val="0"/>
                <w:bCs w:val="0"/>
                <w:color w:val="auto"/>
                <w:sz w:val="21"/>
                <w:szCs w:val="21"/>
                <w:highlight w:val="none"/>
              </w:rPr>
              <w:t xml:space="preserve">②投标文件中须同时提供合同</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lang w:val="en-US" w:eastAsia="zh-CN"/>
              </w:rPr>
              <w:t xml:space="preserve">或</w:t>
            </w:r>
            <w:r>
              <w:rPr>
                <w:rFonts w:hint="eastAsia" w:ascii="仿宋" w:hAnsi="仿宋" w:eastAsia="仿宋" w:cs="仿宋"/>
                <w:b w:val="0"/>
                <w:bCs w:val="0"/>
                <w:color w:val="auto"/>
                <w:sz w:val="21"/>
                <w:szCs w:val="21"/>
                <w:highlight w:val="none"/>
              </w:rPr>
              <w:t xml:space="preserve">中标通知书</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rPr>
              <w:t xml:space="preserve">及</w:t>
            </w:r>
            <w:r>
              <w:rPr>
                <w:rFonts w:hint="eastAsia" w:ascii="仿宋" w:hAnsi="仿宋" w:eastAsia="仿宋" w:cs="仿宋"/>
                <w:b w:val="0"/>
                <w:bCs w:val="0"/>
                <w:color w:val="auto"/>
                <w:sz w:val="21"/>
                <w:szCs w:val="21"/>
                <w:highlight w:val="none"/>
                <w:lang w:val="en-US" w:eastAsia="zh-CN"/>
              </w:rPr>
              <w:t xml:space="preserve">相关</w:t>
            </w:r>
            <w:r>
              <w:rPr>
                <w:rFonts w:hint="eastAsia" w:ascii="仿宋" w:hAnsi="仿宋" w:eastAsia="仿宋" w:cs="仿宋"/>
                <w:b w:val="0"/>
                <w:bCs w:val="0"/>
                <w:color w:val="auto"/>
                <w:sz w:val="21"/>
                <w:szCs w:val="21"/>
                <w:highlight w:val="none"/>
              </w:rPr>
              <w:t xml:space="preserve">验收证明</w:t>
            </w:r>
            <w:r>
              <w:rPr>
                <w:rFonts w:hint="eastAsia" w:ascii="仿宋" w:hAnsi="仿宋" w:eastAsia="仿宋" w:cs="仿宋"/>
                <w:b w:val="0"/>
                <w:bCs w:val="0"/>
                <w:color w:val="auto"/>
                <w:sz w:val="21"/>
                <w:szCs w:val="21"/>
                <w:highlight w:val="none"/>
                <w:lang w:val="en-US" w:eastAsia="zh-CN"/>
              </w:rPr>
              <w:t xml:space="preserve">扫描件</w:t>
            </w:r>
            <w:r>
              <w:rPr>
                <w:rFonts w:hint="eastAsia" w:ascii="仿宋" w:hAnsi="仿宋" w:eastAsia="仿宋" w:cs="仿宋"/>
                <w:b w:val="0"/>
                <w:bCs w:val="0"/>
                <w:color w:val="auto"/>
                <w:sz w:val="21"/>
                <w:szCs w:val="21"/>
                <w:highlight w:val="none"/>
              </w:rPr>
              <w:t xml:space="preserve">，否则不得分。</w:t>
            </w:r>
            <w:bookmarkEnd w:id="189"/>
            <w:r/>
            <w:r/>
          </w:p>
        </w:tc>
      </w:tr>
    </w:tbl>
    <w:p>
      <w:pPr>
        <w:pStyle w:val="8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 </w:t>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6"/>
        <w:jc w:val="center"/>
        <w:spacing w:beforeAutospacing="0" w:afterAutospacing="0"/>
        <w:rPr>
          <w:highlight w:val="none"/>
        </w:rPr>
      </w:pPr>
      <w:r/>
      <w:bookmarkStart w:id="190" w:name="_Toc26554094"/>
      <w:r/>
      <w:bookmarkEnd w:id="190"/>
      <w:r/>
      <w:bookmarkStart w:id="191" w:name="_Hlt26671244"/>
      <w:r/>
      <w:bookmarkEnd w:id="191"/>
      <w:r/>
      <w:bookmarkStart w:id="192" w:name="_Hlt26955039"/>
      <w:r/>
      <w:bookmarkEnd w:id="192"/>
      <w:r/>
      <w:bookmarkStart w:id="193" w:name="_Toc49090576"/>
      <w:r/>
      <w:bookmarkStart w:id="194" w:name="_Toc120614282"/>
      <w:r>
        <w:rPr>
          <w:rFonts w:hint="eastAsia" w:ascii="宋体" w:hAnsi="宋体" w:eastAsia="宋体" w:cs="宋体"/>
          <w:b/>
          <w:color w:val="000000"/>
          <w:sz w:val="72"/>
          <w:szCs w:val="72"/>
          <w:highlight w:val="none"/>
        </w:rPr>
        <w:t xml:space="preserve">投  标  文  件</w:t>
      </w:r>
      <w:r/>
    </w:p>
    <w:p>
      <w:pPr>
        <w:pStyle w:val="856"/>
        <w:jc w:val="center"/>
        <w:spacing w:beforeAutospacing="0" w:afterAutospacing="0"/>
        <w:rPr>
          <w:highlight w:val="none"/>
        </w:rPr>
      </w:pPr>
      <w:r>
        <w:rPr>
          <w:highlight w:val="none"/>
        </w:rPr>
        <w:t xml:space="preserve"> </w:t>
      </w:r>
      <w:r/>
    </w:p>
    <w:p>
      <w:pPr>
        <w:pStyle w:val="856"/>
        <w:jc w:val="center"/>
        <w:spacing w:beforeAutospacing="0" w:afterAutospacing="0"/>
        <w:rPr>
          <w:highlight w:val="none"/>
        </w:rPr>
      </w:pPr>
      <w:r>
        <w:rPr>
          <w:highlight w:val="none"/>
        </w:rPr>
        <w:t xml:space="preserve"> </w:t>
      </w:r>
      <w:r/>
    </w:p>
    <w:p>
      <w:pPr>
        <w:pStyle w:val="856"/>
        <w:jc w:val="center"/>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t xml:space="preserve"> </w:t>
      </w:r>
      <w:r/>
    </w:p>
    <w:p>
      <w:pPr>
        <w:pStyle w:val="856"/>
        <w:jc w:val="center"/>
        <w:spacing w:beforeAutospacing="0" w:afterAutospacing="0"/>
        <w:rPr>
          <w:highlight w:val="none"/>
        </w:rPr>
      </w:pPr>
      <w:r>
        <w:rPr>
          <w:highlight w:val="none"/>
        </w:rPr>
        <w:t xml:space="preserve"> </w:t>
      </w:r>
      <w:r/>
    </w:p>
    <w:p>
      <w:pPr>
        <w:pStyle w:val="856"/>
        <w:jc w:val="center"/>
        <w:spacing w:beforeAutospacing="0" w:afterAutospacing="0"/>
        <w:rPr>
          <w:highlight w:val="none"/>
        </w:rPr>
      </w:pPr>
      <w:r>
        <w:rPr>
          <w:highlight w:val="none"/>
        </w:rPr>
        <w:t xml:space="preserve"> </w:t>
      </w:r>
      <w:r/>
    </w:p>
    <w:p>
      <w:pPr>
        <w:pStyle w:val="856"/>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56"/>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56"/>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856"/>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both"/>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6"/>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6"/>
        <w:jc w:val="center"/>
        <w:spacing w:beforeAutospacing="0" w:afterAutospacing="0" w:line="0" w:lineRule="atLeast"/>
        <w:rPr>
          <w:rFonts w:ascii="宋体" w:hAnsi="宋体" w:eastAsia="宋体" w:cs="宋体"/>
          <w:b/>
          <w:bCs/>
          <w:color w:val="000000"/>
          <w:sz w:val="36"/>
          <w:szCs w:val="36"/>
          <w:highlight w:val="none"/>
          <w:u w:val="single"/>
        </w:rPr>
      </w:pPr>
      <w:r>
        <w:rPr>
          <w:rFonts w:ascii="宋体" w:hAnsi="宋体" w:eastAsia="宋体" w:cs="宋体"/>
          <w:b/>
          <w:color w:val="000000"/>
          <w:sz w:val="36"/>
          <w:szCs w:val="36"/>
          <w:highlight w:val="none"/>
          <w:u w:val="single"/>
        </w:rPr>
      </w:r>
      <w:r>
        <w:rPr>
          <w:rFonts w:ascii="宋体" w:hAnsi="宋体" w:eastAsia="宋体" w:cs="宋体"/>
          <w:b/>
          <w:color w:val="000000"/>
          <w:sz w:val="36"/>
          <w:szCs w:val="36"/>
          <w:highlight w:val="none"/>
          <w:u w:val="single"/>
        </w:rPr>
      </w:r>
      <w:r/>
    </w:p>
    <w:p>
      <w:pPr>
        <w:pStyle w:val="856"/>
        <w:jc w:val="center"/>
        <w:spacing w:beforeAutospacing="0" w:afterAutospacing="0" w:line="0" w:lineRule="atLeast"/>
        <w:rPr>
          <w:rFonts w:ascii="宋体" w:hAnsi="宋体" w:eastAsia="宋体" w:cs="宋体"/>
          <w:b/>
          <w:bCs/>
          <w:color w:val="000000"/>
          <w:sz w:val="36"/>
          <w:szCs w:val="36"/>
          <w:highlight w:val="none"/>
          <w:u w:val="single"/>
        </w:rPr>
      </w:pPr>
      <w:r>
        <w:rPr>
          <w:rFonts w:ascii="宋体" w:hAnsi="宋体" w:eastAsia="宋体" w:cs="宋体"/>
          <w:b/>
          <w:bCs/>
          <w:color w:val="000000"/>
          <w:sz w:val="36"/>
          <w:szCs w:val="36"/>
          <w:highlight w:val="none"/>
          <w:u w:val="single"/>
        </w:rPr>
      </w:r>
      <w:r>
        <w:rPr>
          <w:rFonts w:ascii="宋体" w:hAnsi="宋体" w:eastAsia="宋体" w:cs="宋体"/>
          <w:b/>
          <w:bCs/>
          <w:color w:val="000000"/>
          <w:sz w:val="36"/>
          <w:szCs w:val="36"/>
          <w:highlight w:val="none"/>
          <w:u w:val="single"/>
        </w:rPr>
      </w:r>
      <w:r/>
    </w:p>
    <w:p>
      <w:pPr>
        <w:pStyle w:val="856"/>
        <w:jc w:val="center"/>
        <w:spacing w:beforeAutospacing="0" w:afterAutospacing="0" w:line="0" w:lineRule="atLeast"/>
        <w:rPr>
          <w:rFonts w:ascii="宋体" w:hAnsi="宋体" w:eastAsia="宋体" w:cs="宋体"/>
          <w:b/>
          <w:bCs/>
          <w:color w:val="000000"/>
          <w:sz w:val="36"/>
          <w:szCs w:val="36"/>
          <w:highlight w:val="none"/>
          <w:u w:val="single"/>
        </w:rPr>
      </w:pPr>
      <w:r>
        <w:rPr>
          <w:rFonts w:ascii="宋体" w:hAnsi="宋体" w:eastAsia="宋体" w:cs="宋体"/>
          <w:b/>
          <w:bCs/>
          <w:color w:val="000000"/>
          <w:sz w:val="36"/>
          <w:szCs w:val="36"/>
          <w:highlight w:val="none"/>
          <w:u w:val="single"/>
        </w:rPr>
      </w:r>
      <w:r>
        <w:rPr>
          <w:rFonts w:ascii="宋体" w:hAnsi="宋体" w:eastAsia="宋体" w:cs="宋体"/>
          <w:b/>
          <w:bCs/>
          <w:color w:val="000000"/>
          <w:sz w:val="36"/>
          <w:szCs w:val="36"/>
          <w:highlight w:val="none"/>
          <w:u w:val="single"/>
        </w:rPr>
      </w:r>
      <w:r/>
    </w:p>
    <w:p>
      <w:pPr>
        <w:pStyle w:val="856"/>
        <w:jc w:val="center"/>
        <w:spacing w:beforeAutospacing="0" w:afterAutospacing="0" w:line="0" w:lineRule="atLeast"/>
        <w:rPr>
          <w:rFonts w:ascii="宋体" w:hAnsi="宋体" w:eastAsia="宋体" w:cs="宋体"/>
          <w:b/>
          <w:bCs/>
          <w:color w:val="000000"/>
          <w:sz w:val="36"/>
          <w:szCs w:val="36"/>
          <w:highlight w:val="none"/>
          <w:u w:val="single"/>
        </w:rPr>
      </w:pPr>
      <w:r>
        <w:rPr>
          <w:rFonts w:ascii="宋体" w:hAnsi="宋体" w:eastAsia="宋体" w:cs="宋体"/>
          <w:b/>
          <w:color w:val="000000"/>
          <w:sz w:val="36"/>
          <w:szCs w:val="36"/>
          <w:highlight w:val="none"/>
          <w:u w:val="single"/>
        </w:rPr>
      </w:r>
      <w:r/>
    </w:p>
    <w:p>
      <w:pPr>
        <w:pStyle w:val="856"/>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6"/>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56"/>
        <w:jc w:val="center"/>
        <w:spacing w:beforeAutospacing="0" w:afterAutospacing="0" w:line="0" w:lineRule="atLeast"/>
        <w:rPr>
          <w:highlight w:val="none"/>
        </w:rPr>
      </w:pPr>
      <w:r>
        <w:rPr>
          <w:highlight w:val="none"/>
        </w:rPr>
        <w:t xml:space="preserve"> </w:t>
      </w:r>
      <w:r/>
    </w:p>
    <w:p>
      <w:pPr>
        <w:pStyle w:val="856"/>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w:t>
      </w:r>
      <w:bookmarkStart w:id="214" w:name="_GoBack"/>
      <w:r/>
      <w:bookmarkEnd w:id="214"/>
      <w:r>
        <w:rPr>
          <w:rFonts w:hint="eastAsia" w:ascii="宋体" w:hAnsi="宋体" w:eastAsia="宋体" w:cs="宋体"/>
          <w:i w:val="0"/>
          <w:iCs/>
          <w:color w:val="000000"/>
          <w:highlight w:val="none"/>
          <w:u w:val="none"/>
        </w:rPr>
        <w:t xml:space="preserve">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856"/>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856"/>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56"/>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6"/>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56"/>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56"/>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七、法定代表人身份证明书及法人授权书</w:t>
      </w:r>
      <w:r/>
    </w:p>
    <w:p>
      <w:pPr>
        <w:pStyle w:val="856"/>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856"/>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56"/>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auto"/>
          <w:highlight w:val="none"/>
          <w:u w:val="none"/>
        </w:rPr>
        <w:t xml:space="preserve">残疾人福利性单位声明函</w:t>
      </w:r>
      <w:r/>
    </w:p>
    <w:p>
      <w:pPr>
        <w:pStyle w:val="856"/>
        <w:ind w:firstLine="480"/>
        <w:jc w:val="both"/>
        <w:spacing w:beforeAutospacing="0" w:afterAutospacing="0" w:line="0" w:lineRule="atLeas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856"/>
        <w:ind w:firstLine="480"/>
        <w:jc w:val="both"/>
        <w:spacing w:beforeAutospacing="0" w:afterAutospacing="0" w:line="0" w:lineRule="atLeas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、联合体协议</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856"/>
        <w:ind w:firstLine="480"/>
        <w:jc w:val="both"/>
        <w:spacing w:beforeAutospacing="0" w:afterAutospacing="0" w:line="0" w:lineRule="atLeas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十三、投标报价表</w:t>
      </w:r>
      <w:r/>
    </w:p>
    <w:p>
      <w:pPr>
        <w:pStyle w:val="856"/>
        <w:ind w:firstLine="480"/>
        <w:jc w:val="both"/>
        <w:spacing w:beforeAutospacing="0" w:afterAutospacing="0" w:line="0" w:lineRule="atLeas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十四、技术要求响应及偏离表</w:t>
      </w:r>
      <w:r/>
    </w:p>
    <w:p>
      <w:pPr>
        <w:pStyle w:val="856"/>
        <w:ind w:left="480"/>
        <w:jc w:val="both"/>
        <w:spacing w:beforeAutospacing="0" w:afterAutospacing="0"/>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十五、商务要求响应及偏离表</w:t>
      </w:r>
      <w:r/>
    </w:p>
    <w:p>
      <w:pPr>
        <w:pStyle w:val="856"/>
        <w:ind w:left="480"/>
        <w:jc w:val="both"/>
        <w:spacing w:beforeAutospacing="0" w:afterAutospacing="0"/>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十六、开标一览表</w:t>
      </w:r>
      <w:r/>
    </w:p>
    <w:p>
      <w:pPr>
        <w:pStyle w:val="856"/>
        <w:ind w:left="480"/>
        <w:jc w:val="both"/>
        <w:spacing w:beforeAutospacing="0" w:afterAutospacing="0"/>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十七、技术方案、服务承诺、培训承诺等</w:t>
      </w:r>
      <w:r/>
    </w:p>
    <w:p>
      <w:pPr>
        <w:pStyle w:val="856"/>
        <w:ind w:left="480"/>
        <w:jc w:val="both"/>
        <w:spacing w:beforeAutospacing="0" w:afterAutospacing="0"/>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十八、盐城市政府采购事前信用承诺书</w:t>
      </w:r>
      <w:r/>
    </w:p>
    <w:p>
      <w:pPr>
        <w:pStyle w:val="856"/>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56"/>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56"/>
        <w:ind w:firstLine="480"/>
        <w:jc w:val="both"/>
        <w:spacing w:beforeAutospacing="0" w:afterAutospacing="0" w:line="0" w:lineRule="atLeast"/>
        <w:rPr>
          <w:highlight w:val="none"/>
        </w:rPr>
      </w:pPr>
      <w:r>
        <w:rPr>
          <w:highlight w:val="none"/>
        </w:rPr>
        <w:t xml:space="preserve"> </w:t>
      </w:r>
      <w:r/>
    </w:p>
    <w:p>
      <w:pPr>
        <w:pStyle w:val="856"/>
        <w:ind w:firstLine="480"/>
        <w:jc w:val="both"/>
        <w:spacing w:beforeAutospacing="0" w:afterAutospacing="0" w:line="0" w:lineRule="atLeast"/>
        <w:rPr>
          <w:highlight w:val="none"/>
        </w:rPr>
      </w:pPr>
      <w:r>
        <w:rPr>
          <w:highlight w:val="none"/>
        </w:rPr>
        <w:t xml:space="preserve"> </w:t>
      </w:r>
      <w:r/>
    </w:p>
    <w:p>
      <w:pPr>
        <w:pStyle w:val="856"/>
        <w:ind w:firstLine="480"/>
        <w:jc w:val="both"/>
        <w:spacing w:beforeAutospacing="0" w:afterAutospacing="0" w:line="0" w:lineRule="atLeast"/>
        <w:rPr>
          <w:highlight w:val="none"/>
        </w:rPr>
      </w:pPr>
      <w:r>
        <w:rPr>
          <w:highlight w:val="none"/>
        </w:rPr>
        <w:t xml:space="preserve"> </w:t>
      </w:r>
      <w:r/>
    </w:p>
    <w:p>
      <w:pPr>
        <w:pStyle w:val="856"/>
        <w:ind w:firstLine="480"/>
        <w:jc w:val="both"/>
        <w:spacing w:beforeAutospacing="0" w:afterAutospacing="0" w:line="0" w:lineRule="atLeast"/>
        <w:rPr>
          <w:highlight w:val="none"/>
        </w:rPr>
      </w:pPr>
      <w:r>
        <w:rPr>
          <w:highlight w:val="none"/>
        </w:rPr>
        <w:t xml:space="preserve"> </w:t>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ind w:firstLine="480"/>
        <w:jc w:val="both"/>
        <w:spacing w:beforeAutospacing="0" w:afterAutospacing="0" w:line="0" w:lineRule="atLeast"/>
        <w:rPr>
          <w:highlight w:val="none"/>
        </w:rPr>
      </w:pPr>
      <w:r>
        <w:rPr>
          <w:highlight w:val="none"/>
        </w:rPr>
      </w:r>
      <w:r/>
    </w:p>
    <w:p>
      <w:pPr>
        <w:pStyle w:val="856"/>
        <w:jc w:val="both"/>
        <w:spacing w:beforeAutospacing="0" w:afterAutospacing="0"/>
        <w:rPr>
          <w:i w:val="0"/>
          <w:iCs/>
          <w:highlight w:val="none"/>
        </w:rPr>
      </w:pPr>
      <w:r>
        <w:rPr>
          <w:rFonts w:hint="eastAsia" w:ascii="黑体" w:hAnsi="宋体" w:eastAsia="黑体" w:cs="黑体"/>
          <w:i w:val="0"/>
          <w:iCs/>
          <w:color w:val="000000"/>
          <w:sz w:val="32"/>
          <w:szCs w:val="32"/>
          <w:highlight w:val="none"/>
          <w:u w:val="single"/>
        </w:rPr>
        <w:t xml:space="preserve">一、法人或者其他组织的营业执照等证明文件，自然人的身份证明</w:t>
      </w:r>
      <w:r/>
    </w:p>
    <w:p>
      <w:pPr>
        <w:pStyle w:val="856"/>
        <w:ind w:firstLine="480"/>
        <w:jc w:val="both"/>
        <w:spacing w:beforeAutospacing="0" w:afterAutospacing="0" w:line="0" w:lineRule="atLeast"/>
        <w:rPr>
          <w:highlight w:val="none"/>
        </w:rPr>
      </w:pPr>
      <w:r>
        <w:rPr>
          <w:highlight w:val="none"/>
        </w:rPr>
        <w:t xml:space="preserve"> </w:t>
      </w:r>
      <w:r/>
    </w:p>
    <w:p>
      <w:pPr>
        <w:pStyle w:val="856"/>
        <w:jc w:val="both"/>
        <w:spacing w:beforeAutospacing="0" w:afterAutospacing="0"/>
        <w:rPr>
          <w:rFonts w:hint="eastAsia" w:eastAsia="黑体"/>
          <w:i w:val="0"/>
          <w:iCs/>
          <w:highlight w:val="none"/>
          <w:lang w:val="en-US" w:eastAsia="zh-CN"/>
        </w:rPr>
      </w:pPr>
      <w:r>
        <w:rPr>
          <w:rFonts w:hint="eastAsia" w:ascii="黑体" w:hAnsi="宋体" w:eastAsia="黑体" w:cs="黑体"/>
          <w:i w:val="0"/>
          <w:iCs/>
          <w:color w:val="000000"/>
          <w:sz w:val="32"/>
          <w:szCs w:val="32"/>
          <w:highlight w:val="none"/>
          <w:u w:val="single"/>
        </w:rPr>
        <w:t xml:space="preserve">二、上一年度的财务状况报</w:t>
      </w:r>
      <w:r>
        <w:rPr>
          <w:rFonts w:hint="eastAsia" w:ascii="黑体" w:hAnsi="宋体" w:eastAsia="黑体" w:cs="黑体"/>
          <w:i w:val="0"/>
          <w:iCs/>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856"/>
        <w:ind w:firstLine="480"/>
        <w:jc w:val="both"/>
        <w:spacing w:beforeAutospacing="0" w:afterAutospacing="0" w:line="0" w:lineRule="atLeast"/>
        <w:rPr>
          <w:highlight w:val="none"/>
        </w:rPr>
      </w:pPr>
      <w:r>
        <w:rPr>
          <w:highlight w:val="none"/>
        </w:rPr>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56"/>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56"/>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法定代表人或被授权人（签字或盖章）：</w:t>
      </w:r>
      <w:r/>
    </w:p>
    <w:p>
      <w:pPr>
        <w:pStyle w:val="85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p>
    <w:p>
      <w:pPr>
        <w:pStyle w:val="85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5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年    月    日</w:t>
      </w:r>
      <w:r/>
    </w:p>
    <w:p>
      <w:pPr>
        <w:pStyle w:val="856"/>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56"/>
        <w:ind w:firstLine="480"/>
        <w:jc w:val="both"/>
        <w:spacing w:beforeAutospacing="0" w:afterAutospacing="0"/>
        <w:rPr>
          <w:highlight w:val="none"/>
        </w:rPr>
      </w:pPr>
      <w:r/>
      <w:bookmarkStart w:id="195"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5"/>
      <w:r/>
      <w:r/>
    </w:p>
    <w:p>
      <w:pPr>
        <w:pStyle w:val="856"/>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56"/>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56"/>
        <w:ind w:firstLine="843"/>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6"/>
        <w:ind w:firstLine="843"/>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6"/>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法定代表人或被授权人（签字或盖章）：</w:t>
      </w:r>
      <w:r/>
    </w:p>
    <w:p>
      <w:pPr>
        <w:pStyle w:val="856"/>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6"/>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p>
    <w:p>
      <w:pPr>
        <w:pStyle w:val="856"/>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56"/>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年    月    日</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line="0" w:lineRule="atLeast"/>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t xml:space="preserve">六、特定资格要求的证明文件</w:t>
      </w:r>
      <w:r/>
    </w:p>
    <w:p>
      <w:pPr>
        <w:pStyle w:val="856"/>
        <w:jc w:val="both"/>
        <w:spacing w:beforeAutospacing="0" w:afterAutospacing="0" w:line="0" w:lineRule="atLeast"/>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t xml:space="preserve">如果本项目申请人的特定资格要求中要求提供的，必须提供。</w:t>
      </w:r>
      <w:r/>
    </w:p>
    <w:p>
      <w:pPr>
        <w:pStyle w:val="856"/>
        <w:jc w:val="both"/>
        <w:spacing w:beforeAutospacing="0" w:afterAutospacing="0" w:line="0" w:lineRule="atLeast"/>
        <w:rPr>
          <w:rFonts w:hint="eastAsia" w:ascii="黑体" w:hAnsi="宋体" w:eastAsia="黑体" w:cs="黑体"/>
          <w:i w:val="0"/>
          <w:iCs/>
          <w:color w:val="000000"/>
          <w:sz w:val="32"/>
          <w:szCs w:val="32"/>
          <w:highlight w:val="none"/>
          <w:u w:val="single"/>
          <w:lang w:val="en-US" w:eastAsia="zh-CN"/>
        </w:rPr>
      </w:pPr>
      <w:r>
        <w:rPr>
          <w:rFonts w:hint="eastAsia" w:ascii="黑体" w:hAnsi="宋体" w:eastAsia="黑体" w:cs="黑体"/>
          <w:i w:val="0"/>
          <w:iCs/>
          <w:color w:val="000000"/>
          <w:sz w:val="32"/>
          <w:szCs w:val="32"/>
          <w:highlight w:val="none"/>
          <w:u w:val="single"/>
          <w:lang w:val="en-US" w:eastAsia="zh-CN"/>
        </w:rPr>
        <w:t xml:space="preserve">1.投标人如委托被授权人参与，则被授权人须为本单位正式职工并提供供应商为被授权人缴纳的社会养老保险证明。</w:t>
      </w:r>
      <w:r/>
    </w:p>
    <w:p>
      <w:pPr>
        <w:pStyle w:val="85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jc w:val="center"/>
        <w:spacing w:line="600" w:lineRule="exact"/>
        <w:rPr>
          <w:rFonts w:hint="eastAsia" w:ascii="宋体" w:hAnsi="宋体" w:eastAsia="宋体" w:cs="宋体"/>
          <w:b/>
          <w:bCs/>
          <w:color w:val="auto"/>
          <w:sz w:val="32"/>
          <w:szCs w:val="32"/>
          <w:highlight w:val="none"/>
        </w:rPr>
        <w:outlineLvl w:val="1"/>
      </w:pPr>
      <w:r/>
      <w:bookmarkStart w:id="196" w:name="_格式3__银行出具的资信证明"/>
      <w:r/>
      <w:bookmarkStart w:id="197" w:name="_Hlt26955070"/>
      <w:r/>
      <w:bookmarkStart w:id="198" w:name="_Hlt26671380"/>
      <w: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4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七、法定代表人身份证明书及法人授权书</w:t>
      </w:r>
      <w:r/>
    </w:p>
    <w:p>
      <w:pPr>
        <w:jc w:val="center"/>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法定代表人身份证明书</w:t>
      </w:r>
      <w:r/>
    </w:p>
    <w:p>
      <w:pPr>
        <w:jc w:val="center"/>
        <w:spacing w:line="6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投标人名称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（盖单位公章）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7"/>
      </w:pPr>
      <w:r>
        <w:rPr>
          <w:rFonts w:hint="eastAsia" w:ascii="宋体" w:hAnsi="宋体" w:eastAsia="宋体" w:cs="宋体"/>
          <w:color w:val="auto"/>
          <w:sz w:val="24"/>
          <w:highlight w:val="none"/>
        </w:rPr>
        <w:br w:type="page" w:clear="all"/>
      </w:r>
      <w:bookmarkStart w:id="199" w:name="_Toc174368681"/>
      <w:r>
        <w:rPr>
          <w:rFonts w:hint="eastAsia"/>
        </w:rPr>
        <w:t xml:space="preserve">法人授权书</w:t>
      </w:r>
      <w:bookmarkEnd w:id="199"/>
      <w:r/>
      <w:r/>
    </w:p>
    <w:p>
      <w:pPr>
        <w:ind w:firstLine="560"/>
        <w:rPr>
          <w:sz w:val="28"/>
          <w:szCs w:val="36"/>
        </w:rPr>
      </w:pPr>
      <w:r>
        <w:rPr>
          <w:rFonts w:ascii="Times New Roman" w:hAnsi="Times New Roman"/>
          <w:color w:val="000000"/>
          <w:sz w:val="28"/>
          <w:szCs w:val="36"/>
        </w:rPr>
        <w:t xml:space="preserve">本授权书声明：____________（投标人名称）授权________________（被授权人的姓名）为我方就JSZC-</w:t>
      </w:r>
      <w:r>
        <w:rPr>
          <w:rFonts w:ascii="Times New Roman" w:hAnsi="Times New Roman"/>
          <w:color w:val="000000"/>
          <w:sz w:val="28"/>
          <w:szCs w:val="36"/>
          <w:u w:val="single"/>
        </w:rPr>
        <w:t xml:space="preserve">            </w:t>
      </w:r>
      <w:r>
        <w:rPr>
          <w:rFonts w:ascii="Times New Roman" w:hAnsi="Times New Roman"/>
          <w:color w:val="000000"/>
          <w:sz w:val="28"/>
          <w:szCs w:val="36"/>
        </w:rPr>
        <w:t xml:space="preserve">号项目采购活动的合法代理人，以本单位名义全权处理一切与该项目采购有关的事务。</w:t>
      </w:r>
      <w:r/>
    </w:p>
    <w:p>
      <w:pPr>
        <w:ind w:firstLine="560"/>
        <w:rPr>
          <w:sz w:val="28"/>
          <w:szCs w:val="36"/>
        </w:rPr>
      </w:pPr>
      <w:r>
        <w:rPr>
          <w:rFonts w:ascii="Times New Roman" w:hAnsi="Times New Roman"/>
          <w:color w:val="000000"/>
          <w:sz w:val="28"/>
          <w:szCs w:val="36"/>
        </w:rPr>
        <w:t xml:space="preserve">本授权书于______年____月____日起生效，特此声明。</w:t>
      </w:r>
      <w:r/>
    </w:p>
    <w:p>
      <w:pPr>
        <w:ind w:firstLine="560"/>
        <w:rPr>
          <w:sz w:val="28"/>
          <w:szCs w:val="36"/>
        </w:rPr>
      </w:pPr>
      <w:r>
        <w:rPr>
          <w:rFonts w:ascii="Times New Roman" w:hAnsi="Times New Roman"/>
          <w:color w:val="000000"/>
          <w:sz w:val="28"/>
          <w:szCs w:val="36"/>
        </w:rPr>
        <w:t xml:space="preserve">          被授权人身份证号码：</w:t>
      </w:r>
      <w:r>
        <w:rPr>
          <w:rFonts w:ascii="Times New Roman" w:hAnsi="Times New Roman"/>
          <w:color w:val="000000"/>
          <w:sz w:val="28"/>
          <w:szCs w:val="36"/>
          <w:u w:val="single"/>
        </w:rPr>
        <w:t xml:space="preserve">                              </w:t>
      </w:r>
      <w:r/>
    </w:p>
    <w:p>
      <w:pPr>
        <w:ind w:firstLine="560"/>
        <w:rPr>
          <w:sz w:val="28"/>
          <w:szCs w:val="36"/>
        </w:rPr>
      </w:pPr>
      <w:r>
        <w:rPr>
          <w:rFonts w:ascii="Times New Roman" w:hAnsi="Times New Roman"/>
          <w:color w:val="000000"/>
          <w:sz w:val="28"/>
          <w:szCs w:val="36"/>
        </w:rPr>
        <w:t xml:space="preserve">          被授权人联系电话：（手机）</w:t>
      </w:r>
      <w:r>
        <w:rPr>
          <w:rFonts w:ascii="Times New Roman" w:hAnsi="Times New Roman"/>
          <w:color w:val="000000"/>
          <w:sz w:val="28"/>
          <w:szCs w:val="36"/>
          <w:u w:val="single"/>
        </w:rPr>
        <w:t xml:space="preserve">                          </w:t>
      </w:r>
      <w:r/>
    </w:p>
    <w:p>
      <w:pPr>
        <w:ind w:firstLine="1386"/>
        <w:rPr>
          <w:rFonts w:ascii="Times New Roman" w:hAnsi="Times New Roman"/>
          <w:color w:val="000000"/>
          <w:sz w:val="28"/>
          <w:szCs w:val="36"/>
          <w:u w:val="single"/>
        </w:rPr>
      </w:pPr>
      <w:r>
        <w:rPr>
          <w:rFonts w:hint="eastAsia" w:ascii="Times New Roman" w:hAnsi="Times New Roman"/>
          <w:color w:val="000000"/>
          <w:sz w:val="28"/>
          <w:szCs w:val="36"/>
        </w:rPr>
        <w:t xml:space="preserve">法定代表人或被授权人（签字或盖章）：</w:t>
      </w:r>
      <w:r>
        <w:rPr>
          <w:rFonts w:hint="eastAsia" w:ascii="Times New Roman" w:hAnsi="Times New Roman"/>
          <w:color w:val="000000"/>
          <w:sz w:val="28"/>
          <w:szCs w:val="36"/>
          <w:u w:val="single"/>
        </w:rPr>
        <w:t xml:space="preserve"> </w:t>
      </w:r>
      <w:r>
        <w:rPr>
          <w:rFonts w:ascii="Times New Roman" w:hAnsi="Times New Roman"/>
          <w:color w:val="000000"/>
          <w:sz w:val="28"/>
          <w:szCs w:val="36"/>
          <w:u w:val="single"/>
        </w:rPr>
        <w:t xml:space="preserve">                </w:t>
      </w:r>
      <w:r/>
    </w:p>
    <w:p>
      <w:pPr>
        <w:ind w:firstLine="1386"/>
        <w:rPr>
          <w:sz w:val="28"/>
          <w:szCs w:val="36"/>
        </w:rPr>
      </w:pPr>
      <w:r>
        <w:rPr>
          <w:rFonts w:ascii="Times New Roman" w:hAnsi="Times New Roman"/>
          <w:color w:val="000000"/>
          <w:sz w:val="28"/>
          <w:szCs w:val="36"/>
        </w:rPr>
        <w:t xml:space="preserve">授权单位名称：</w:t>
      </w:r>
      <w:r>
        <w:rPr>
          <w:rFonts w:ascii="Times New Roman" w:hAnsi="Times New Roman"/>
          <w:color w:val="000000"/>
          <w:sz w:val="28"/>
          <w:szCs w:val="36"/>
          <w:u w:val="single"/>
        </w:rPr>
        <w:t xml:space="preserve">（加盖CA电子公章）</w:t>
      </w:r>
      <w:r/>
    </w:p>
    <w:p>
      <w:pPr>
        <w:ind w:firstLine="1386"/>
        <w:rPr>
          <w:sz w:val="28"/>
          <w:szCs w:val="36"/>
        </w:rPr>
      </w:pPr>
      <w:r>
        <w:rPr>
          <w:rFonts w:ascii="Times New Roman" w:hAnsi="Times New Roman"/>
          <w:color w:val="000000"/>
          <w:sz w:val="28"/>
          <w:szCs w:val="36"/>
        </w:rPr>
        <w:t xml:space="preserve">单位地址：</w:t>
      </w:r>
      <w:r>
        <w:rPr>
          <w:rFonts w:ascii="Times New Roman" w:hAnsi="Times New Roman"/>
          <w:color w:val="000000"/>
          <w:sz w:val="28"/>
          <w:szCs w:val="36"/>
          <w:u w:val="single"/>
        </w:rPr>
        <w:t xml:space="preserve">                                         </w:t>
      </w:r>
      <w:r/>
    </w:p>
    <w:p>
      <w:pPr>
        <w:ind w:firstLine="1386"/>
        <w:rPr>
          <w:sz w:val="28"/>
          <w:szCs w:val="36"/>
        </w:rPr>
      </w:pPr>
      <w:r>
        <w:rPr>
          <w:rFonts w:ascii="Times New Roman" w:hAnsi="Times New Roman"/>
          <w:color w:val="000000"/>
          <w:sz w:val="28"/>
          <w:szCs w:val="36"/>
        </w:rPr>
        <w:t xml:space="preserve">日期：</w:t>
      </w:r>
      <w:r>
        <w:rPr>
          <w:rFonts w:ascii="Times New Roman" w:hAnsi="Times New Roman"/>
          <w:color w:val="000000"/>
          <w:sz w:val="28"/>
          <w:szCs w:val="36"/>
          <w:u w:val="single"/>
        </w:rPr>
        <w:t xml:space="preserve">                                         </w:t>
      </w:r>
      <w:r/>
    </w:p>
    <w:p>
      <w:pPr>
        <w:ind w:firstLine="560"/>
        <w:rPr>
          <w:sz w:val="28"/>
          <w:szCs w:val="36"/>
        </w:rPr>
      </w:pPr>
      <w:r>
        <w:rPr>
          <w:rFonts w:hint="eastAsia"/>
          <w:sz w:val="28"/>
          <w:szCs w:val="36"/>
        </w:rPr>
        <w:t xml:space="preserve">（附：被授权人身份证正反面复印件）</w:t>
      </w:r>
      <w:r/>
    </w:p>
    <w:p>
      <w:pPr>
        <w:ind w:firstLine="560"/>
        <w:rPr>
          <w:sz w:val="28"/>
          <w:szCs w:val="36"/>
        </w:rPr>
      </w:pPr>
      <w:r>
        <w:rPr>
          <w:sz w:val="28"/>
          <w:szCs w:val="36"/>
        </w:rPr>
      </w:r>
      <w:r/>
    </w:p>
    <w:p>
      <w:pPr>
        <w:ind w:firstLine="560"/>
        <w:rPr>
          <w:sz w:val="28"/>
          <w:szCs w:val="36"/>
        </w:rPr>
      </w:pPr>
      <w:r>
        <w:rPr>
          <w:sz w:val="28"/>
          <w:szCs w:val="36"/>
        </w:rPr>
      </w:r>
      <w:r/>
    </w:p>
    <w:p>
      <w:pPr>
        <w:ind w:firstLine="560"/>
        <w:rPr>
          <w:sz w:val="28"/>
          <w:szCs w:val="36"/>
        </w:rPr>
      </w:pPr>
      <w:r>
        <w:rPr>
          <w:rFonts w:hint="eastAsia"/>
          <w:sz w:val="28"/>
          <w:szCs w:val="36"/>
        </w:rPr>
        <w:t xml:space="preserve">注：1、授权人须为本单位正式职工并提供投标人为被授权人缴纳的社会养老保险证明。</w:t>
      </w:r>
      <w:r/>
    </w:p>
    <w:p>
      <w:pPr>
        <w:ind w:firstLine="1134"/>
        <w:rPr>
          <w:sz w:val="28"/>
          <w:szCs w:val="36"/>
        </w:rPr>
      </w:pPr>
      <w:r>
        <w:rPr>
          <w:sz w:val="28"/>
          <w:szCs w:val="36"/>
        </w:rPr>
        <w:t xml:space="preserve">2、</w:t>
      </w:r>
      <w:r>
        <w:rPr>
          <w:rFonts w:hint="eastAsia"/>
          <w:sz w:val="28"/>
          <w:szCs w:val="36"/>
        </w:rPr>
        <w:t xml:space="preserve">法定</w:t>
      </w:r>
      <w:r>
        <w:rPr>
          <w:sz w:val="28"/>
          <w:szCs w:val="36"/>
        </w:rPr>
        <w:t xml:space="preserve">表人亲自参加时无需提供授权书及保险证明</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rPr>
      </w:pPr>
      <w:r>
        <w:rPr>
          <w:rFonts w:hint="eastAsia"/>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jc w:val="center"/>
        <w:rPr>
          <w:rFonts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八、投标函</w:t>
      </w:r>
      <w:r/>
    </w:p>
    <w:p>
      <w:pPr>
        <w:pStyle w:val="856"/>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rPr>
        <w:t xml:space="preserve">（采购人）</w:t>
      </w:r>
      <w:r/>
    </w:p>
    <w:p>
      <w:pPr>
        <w:pStyle w:val="856"/>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color w:val="000000"/>
          <w:highlight w:val="none"/>
          <w:lang w:val="en-US" w:eastAsia="zh-CN"/>
        </w:rPr>
        <w:t xml:space="preserve">***</w:t>
      </w:r>
      <w:r>
        <w:rPr>
          <w:rFonts w:hint="eastAsia" w:ascii="宋体" w:hAnsi="宋体" w:eastAsia="宋体" w:cs="宋体"/>
          <w:b/>
          <w:color w:val="000000"/>
          <w:sz w:val="36"/>
          <w:szCs w:val="36"/>
          <w:u w:val="single"/>
        </w:rPr>
        <w:t xml:space="preserve">       </w:t>
      </w:r>
      <w:r>
        <w:rPr>
          <w:rFonts w:hint="eastAsia"/>
          <w:u w:val="single"/>
        </w:rPr>
        <w:t xml:space="preserve">（项目编号）</w:t>
      </w:r>
      <w:r>
        <w:rPr>
          <w:rFonts w:hint="eastAsia" w:ascii="宋体" w:hAnsi="宋体" w:eastAsia="宋体" w:cs="宋体"/>
          <w:b/>
          <w:color w:val="000000"/>
          <w:sz w:val="36"/>
          <w:szCs w:val="36"/>
          <w:u w:val="single"/>
        </w:rPr>
        <w:t xml:space="preserve"> </w:t>
      </w:r>
      <w:r>
        <w:rPr>
          <w:rFonts w:hint="eastAsia" w:ascii="宋体" w:hAnsi="宋体" w:eastAsia="宋体" w:cs="宋体"/>
          <w:color w:val="000000"/>
          <w:highlight w:val="none"/>
          <w:lang w:val="en-US" w:eastAsia="zh-CN"/>
        </w:rPr>
        <w:t xml:space="preserve">号</w:t>
      </w:r>
      <w:r>
        <w:rPr>
          <w:rFonts w:hint="eastAsia" w:ascii="宋体" w:hAnsi="宋体" w:eastAsia="宋体" w:cs="宋体"/>
          <w:color w:val="000000"/>
          <w:highlight w:val="none"/>
        </w:rPr>
        <w:t xml:space="preserve">招标文件，正式授权下述签字人______(姓名)代表我方______________（投标人的名称），全权处理本次项目投标的有关事宜。</w:t>
      </w:r>
      <w:r/>
    </w:p>
    <w:p>
      <w:pPr>
        <w:pStyle w:val="856"/>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56"/>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56"/>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56"/>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56"/>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56"/>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56"/>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56"/>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56"/>
        <w:ind w:left="420" w:firstLine="48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5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5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5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5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5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5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期：____年____月____日</w:t>
      </w:r>
      <w:r/>
    </w:p>
    <w:p>
      <w:pPr>
        <w:pStyle w:val="856"/>
        <w:ind w:firstLine="240"/>
        <w:jc w:val="center"/>
        <w:spacing w:beforeAutospacing="0" w:afterAutospacing="0" w:line="0" w:lineRule="atLeast"/>
        <w:rPr>
          <w:highlight w:val="none"/>
        </w:rPr>
      </w:pPr>
      <w:r>
        <w:rPr>
          <w:highlight w:val="none"/>
        </w:rPr>
        <w:t xml:space="preserve"> </w:t>
      </w:r>
      <w:r/>
    </w:p>
    <w:p>
      <w:pPr>
        <w:pStyle w:val="856"/>
        <w:ind w:firstLine="240"/>
        <w:jc w:val="center"/>
        <w:spacing w:beforeAutospacing="0" w:afterAutospacing="0" w:line="0" w:lineRule="atLeast"/>
        <w:rPr>
          <w:highlight w:val="none"/>
        </w:rPr>
      </w:pPr>
      <w:r>
        <w:rPr>
          <w:highlight w:val="none"/>
        </w:rPr>
      </w:r>
      <w:r/>
    </w:p>
    <w:p>
      <w:pPr>
        <w:pStyle w:val="856"/>
        <w:ind w:firstLine="240"/>
        <w:jc w:val="center"/>
        <w:spacing w:beforeAutospacing="0" w:afterAutospacing="0" w:line="0" w:lineRule="atLeast"/>
        <w:rPr>
          <w:highlight w:val="none"/>
        </w:rPr>
      </w:pPr>
      <w:r>
        <w:rPr>
          <w:highlight w:val="none"/>
        </w:rPr>
      </w:r>
      <w:r/>
    </w:p>
    <w:p>
      <w:pPr>
        <w:pStyle w:val="856"/>
        <w:ind w:firstLine="240"/>
        <w:jc w:val="center"/>
        <w:spacing w:beforeAutospacing="0" w:afterAutospacing="0" w:line="0" w:lineRule="atLeast"/>
        <w:rPr>
          <w:rFonts w:hint="eastAsia"/>
          <w:highlight w:val="none"/>
        </w:rPr>
      </w:pPr>
      <w:r>
        <w:rPr>
          <w:highlight w:val="none"/>
        </w:rPr>
        <w:t xml:space="preserve"> </w:t>
      </w:r>
      <w:r>
        <w:rPr>
          <w:rFonts w:hint="eastAsia"/>
          <w:highlight w:val="none"/>
        </w:rPr>
        <w:t xml:space="preserve">法定代表人或被授权人（签字或盖章）：</w:t>
      </w:r>
      <w:r/>
    </w:p>
    <w:p>
      <w:pPr>
        <w:pStyle w:val="856"/>
        <w:ind w:firstLine="240"/>
        <w:jc w:val="center"/>
        <w:spacing w:beforeAutospacing="0" w:afterAutospacing="0" w:line="0" w:lineRule="atLeast"/>
        <w:rPr>
          <w:rFonts w:hint="eastAsia"/>
          <w:highlight w:val="none"/>
        </w:rPr>
      </w:pPr>
      <w:r>
        <w:rPr>
          <w:rFonts w:hint="eastAsia"/>
          <w:highlight w:val="none"/>
        </w:rPr>
      </w:r>
      <w:r/>
    </w:p>
    <w:p>
      <w:pPr>
        <w:pStyle w:val="856"/>
        <w:ind w:firstLine="240"/>
        <w:jc w:val="center"/>
        <w:spacing w:beforeAutospacing="0" w:afterAutospacing="0" w:line="0" w:lineRule="atLeast"/>
        <w:rPr>
          <w:rFonts w:hint="eastAsia"/>
          <w:highlight w:val="none"/>
        </w:rPr>
      </w:pPr>
      <w:r>
        <w:rPr>
          <w:rFonts w:hint="eastAsia"/>
          <w:highlight w:val="none"/>
        </w:rPr>
        <w:t xml:space="preserve">企业名称（加盖CA电子公章）：</w:t>
      </w:r>
      <w:r/>
    </w:p>
    <w:p>
      <w:pPr>
        <w:pStyle w:val="856"/>
        <w:ind w:firstLine="240"/>
        <w:jc w:val="center"/>
        <w:spacing w:beforeAutospacing="0" w:afterAutospacing="0" w:line="0" w:lineRule="atLeast"/>
        <w:rPr>
          <w:rFonts w:hint="eastAsia"/>
          <w:highlight w:val="none"/>
        </w:rPr>
      </w:pPr>
      <w:r>
        <w:rPr>
          <w:rFonts w:hint="eastAsia"/>
          <w:highlight w:val="none"/>
        </w:rPr>
        <w:t xml:space="preserve"> </w:t>
      </w:r>
      <w:r/>
    </w:p>
    <w:p>
      <w:pPr>
        <w:pStyle w:val="856"/>
        <w:ind w:firstLine="240"/>
        <w:jc w:val="center"/>
        <w:spacing w:beforeAutospacing="0" w:afterAutospacing="0" w:line="0" w:lineRule="atLeast"/>
        <w:rPr>
          <w:highlight w:val="none"/>
        </w:rPr>
      </w:pPr>
      <w:r>
        <w:rPr>
          <w:rFonts w:hint="eastAsia"/>
          <w:highlight w:val="none"/>
        </w:rPr>
        <w:t xml:space="preserve">         年    月    日</w:t>
      </w:r>
      <w:r/>
    </w:p>
    <w:p>
      <w:pPr>
        <w:pStyle w:val="856"/>
        <w:ind w:firstLine="240"/>
        <w:jc w:val="center"/>
        <w:spacing w:beforeAutospacing="0" w:afterAutospacing="0" w:line="0" w:lineRule="atLeast"/>
        <w:rPr>
          <w:highlight w:val="none"/>
        </w:rPr>
      </w:pPr>
      <w:r>
        <w:rPr>
          <w:highlight w:val="none"/>
        </w:rPr>
        <w:t xml:space="preserve"> </w:t>
      </w:r>
      <w:r/>
    </w:p>
    <w:p>
      <w:pPr>
        <w:pStyle w:val="856"/>
        <w:ind w:firstLine="240"/>
        <w:jc w:val="center"/>
        <w:spacing w:beforeAutospacing="0" w:afterAutospacing="0" w:line="0" w:lineRule="atLeast"/>
        <w:rPr>
          <w:highlight w:val="none"/>
        </w:rPr>
      </w:pPr>
      <w:r>
        <w:rPr>
          <w:highlight w:val="none"/>
        </w:rPr>
        <w:t xml:space="preserve"> </w:t>
      </w:r>
      <w:r/>
    </w:p>
    <w:p>
      <w:pPr>
        <w:pStyle w:val="856"/>
        <w:ind w:firstLine="240"/>
        <w:jc w:val="center"/>
        <w:spacing w:beforeAutospacing="0" w:afterAutospacing="0" w:line="0" w:lineRule="atLeast"/>
        <w:rPr>
          <w:highlight w:val="none"/>
        </w:rPr>
      </w:pPr>
      <w:r>
        <w:rPr>
          <w:highlight w:val="none"/>
        </w:rPr>
        <w:t xml:space="preserve"> </w:t>
      </w:r>
      <w:r/>
    </w:p>
    <w:p>
      <w:pPr>
        <w:pStyle w:val="856"/>
        <w:ind w:firstLine="240"/>
        <w:jc w:val="center"/>
        <w:spacing w:beforeAutospacing="0" w:afterAutospacing="0" w:line="0" w:lineRule="atLeast"/>
        <w:rPr>
          <w:highlight w:val="none"/>
        </w:rPr>
      </w:pPr>
      <w:r>
        <w:rPr>
          <w:highlight w:val="none"/>
        </w:rPr>
      </w:r>
      <w:r/>
    </w:p>
    <w:p>
      <w:pPr>
        <w:pStyle w:val="856"/>
        <w:ind w:firstLine="240"/>
        <w:jc w:val="center"/>
        <w:spacing w:beforeAutospacing="0" w:afterAutospacing="0" w:line="0" w:lineRule="atLeast"/>
        <w:rPr>
          <w:highlight w:val="none"/>
        </w:rPr>
      </w:pPr>
      <w:r>
        <w:rPr>
          <w:highlight w:val="none"/>
        </w:rPr>
      </w:r>
      <w:r/>
    </w:p>
    <w:p>
      <w:pPr>
        <w:pStyle w:val="856"/>
        <w:ind w:firstLine="240"/>
        <w:jc w:val="center"/>
        <w:spacing w:beforeAutospacing="0" w:afterAutospacing="0" w:line="0" w:lineRule="atLeast"/>
        <w:rPr>
          <w:highlight w:val="none"/>
        </w:rPr>
      </w:pPr>
      <w:r>
        <w:rPr>
          <w:highlight w:val="none"/>
        </w:rPr>
      </w:r>
      <w:r/>
    </w:p>
    <w:p>
      <w:pPr>
        <w:pStyle w:val="856"/>
        <w:ind w:firstLine="240"/>
        <w:jc w:val="center"/>
        <w:spacing w:beforeAutospacing="0" w:afterAutospacing="0" w:line="0" w:lineRule="atLeast"/>
        <w:rPr>
          <w:highlight w:val="none"/>
        </w:rPr>
      </w:pPr>
      <w:r>
        <w:rPr>
          <w:highlight w:val="none"/>
        </w:rPr>
      </w:r>
      <w:r/>
    </w:p>
    <w:p>
      <w:pPr>
        <w:pStyle w:val="856"/>
        <w:ind w:firstLine="240"/>
        <w:jc w:val="center"/>
        <w:spacing w:beforeAutospacing="0" w:afterAutospacing="0" w:line="0" w:lineRule="atLeast"/>
        <w:rPr>
          <w:highlight w:val="none"/>
        </w:rPr>
      </w:pPr>
      <w:r>
        <w:rPr>
          <w:highlight w:val="none"/>
        </w:rPr>
      </w:r>
      <w:r/>
    </w:p>
    <w:p>
      <w:pPr>
        <w:pStyle w:val="856"/>
        <w:ind w:firstLine="240"/>
        <w:jc w:val="center"/>
        <w:spacing w:beforeAutospacing="0" w:afterAutospacing="0" w:line="0" w:lineRule="atLeast"/>
        <w:rPr>
          <w:highlight w:val="none"/>
        </w:rPr>
      </w:pPr>
      <w:r>
        <w:rPr>
          <w:highlight w:val="none"/>
        </w:rPr>
      </w:r>
      <w:r/>
    </w:p>
    <w:p>
      <w:pPr>
        <w:pStyle w:val="856"/>
        <w:ind w:firstLine="240"/>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rPr>
        <w:t xml:space="preserve">（</w:t>
      </w:r>
      <w:r>
        <w:rPr>
          <w:rFonts w:hint="eastAsia"/>
          <w:color w:val="auto"/>
          <w:sz w:val="24"/>
          <w:highlight w:val="none"/>
          <w:u w:val="single"/>
          <w:lang w:val="en-US" w:eastAsia="zh-CN"/>
        </w:rPr>
        <w:t xml:space="preserve">采购</w:t>
      </w:r>
      <w:r>
        <w:rPr>
          <w:rFonts w:hint="eastAsia"/>
          <w:color w:val="auto"/>
          <w:sz w:val="24"/>
          <w:highlight w:val="none"/>
          <w:u w:val="single"/>
        </w:rPr>
        <w:t xml:space="preserve">单位名称</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 </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56"/>
        <w:ind w:right="720"/>
        <w:jc w:val="both"/>
        <w:spacing w:beforeAutospacing="0" w:afterAutospacing="0" w:line="0" w:lineRule="atLeast"/>
        <w:rPr>
          <w:color w:val="auto"/>
          <w:highlight w:val="none"/>
        </w:rPr>
      </w:pPr>
      <w:r>
        <w:rPr>
          <w:color w:val="auto"/>
          <w:highlight w:val="none"/>
        </w:rPr>
        <w:t xml:space="preserve"> </w:t>
      </w:r>
      <w:r/>
    </w:p>
    <w:p>
      <w:pPr>
        <w:pStyle w:val="856"/>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56"/>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56"/>
        <w:ind w:firstLine="240"/>
        <w:jc w:val="both"/>
        <w:spacing w:beforeAutospacing="0" w:afterAutospacing="0" w:line="0" w:lineRule="atLeast"/>
        <w:rPr>
          <w:color w:val="auto"/>
          <w:highlight w:val="none"/>
        </w:rPr>
      </w:pPr>
      <w:r>
        <w:rPr>
          <w:color w:val="auto"/>
          <w:highlight w:val="none"/>
        </w:rPr>
        <w:t xml:space="preserve"> </w:t>
      </w:r>
      <w:r/>
    </w:p>
    <w:p>
      <w:pPr>
        <w:pStyle w:val="8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56"/>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十、残疾人福利性单位声明函</w:t>
      </w:r>
      <w:r/>
    </w:p>
    <w:p>
      <w:pPr>
        <w:pStyle w:val="856"/>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6"/>
        <w:ind w:firstLine="482"/>
        <w:jc w:val="both"/>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856"/>
        <w:ind w:firstLine="482"/>
        <w:jc w:val="both"/>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56"/>
        <w:ind w:firstLine="482"/>
        <w:jc w:val="both"/>
        <w:keepLines w:val="0"/>
        <w:keepNext w:val="0"/>
        <w:pageBreakBefore w:val="0"/>
        <w:spacing w:beforeAutospacing="0" w:afterAutospacing="0" w:line="440" w:lineRule="exact"/>
        <w:widowControl w:val="off"/>
        <w:rPr>
          <w:highlight w:val="none"/>
        </w:rPr>
      </w:pPr>
      <w:r>
        <w:rPr>
          <w:highlight w:val="none"/>
        </w:rPr>
        <w:t xml:space="preserve"> </w:t>
      </w:r>
      <w:r/>
    </w:p>
    <w:p>
      <w:pPr>
        <w:pStyle w:val="856"/>
        <w:ind w:firstLine="482"/>
        <w:jc w:val="both"/>
        <w:keepLines w:val="0"/>
        <w:keepNext w:val="0"/>
        <w:pageBreakBefore w:val="0"/>
        <w:spacing w:beforeAutospacing="0" w:afterAutospacing="0" w:line="440" w:lineRule="exact"/>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56"/>
        <w:ind w:firstLine="482"/>
        <w:jc w:val="both"/>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856"/>
        <w:ind w:firstLine="624"/>
        <w:jc w:val="both"/>
        <w:spacing w:beforeAutospacing="0" w:afterAutospacing="0" w:line="0" w:lineRule="atLeast"/>
        <w:rPr>
          <w:highlight w:val="none"/>
        </w:rPr>
      </w:pPr>
      <w:r>
        <w:rPr>
          <w:highlight w:val="none"/>
        </w:rPr>
        <w:t xml:space="preserve"> </w:t>
      </w:r>
      <w:r/>
    </w:p>
    <w:p>
      <w:pPr>
        <w:pStyle w:val="856"/>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5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856"/>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  期：</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t xml:space="preserve"> </w:t>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jc w:val="center"/>
        <w:spacing w:beforeAutospacing="0" w:afterAutospacing="0" w:line="0" w:lineRule="atLeast"/>
        <w:rPr>
          <w:highlight w:val="none"/>
        </w:rPr>
      </w:pPr>
      <w:r>
        <w:rPr>
          <w:highlight w:val="none"/>
        </w:rPr>
      </w:r>
      <w:r/>
    </w:p>
    <w:p>
      <w:pPr>
        <w:pStyle w:val="856"/>
        <w:ind w:left="0" w:right="0"/>
        <w:jc w:val="center"/>
        <w:keepLines w:val="0"/>
        <w:keepNext w:val="0"/>
        <w:spacing w:before="0" w:beforeAutospacing="0" w:after="0" w:afterAutospacing="0"/>
        <w:widowControl w:val="off"/>
        <w:rPr>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highlight w:val="yellow"/>
        </w:rPr>
        <w:t xml:space="preserve">十一、关于符合本国产品标准的声明函</w:t>
      </w:r>
      <w:r/>
    </w:p>
    <w:p>
      <w:pPr>
        <w:pStyle w:val="856"/>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rPr>
        <w:t xml:space="preserve"> </w:t>
      </w:r>
      <w:r/>
    </w:p>
    <w:p>
      <w:pPr>
        <w:pStyle w:val="856"/>
        <w:ind w:left="0" w:firstLine="697"/>
        <w:jc w:val="both"/>
        <w:keepLines w:val="0"/>
        <w:keepNext w:val="0"/>
        <w:pageBreakBefore w:val="0"/>
        <w:spacing w:beforeAutospacing="0" w:afterAutospacing="0" w:line="44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6"/>
        <w:ind w:left="0" w:firstLine="697"/>
        <w:jc w:val="both"/>
        <w:keepLines w:val="0"/>
        <w:keepNext w:val="0"/>
        <w:pageBreakBefore w:val="0"/>
        <w:spacing w:beforeAutospacing="0" w:afterAutospacing="0" w:line="44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856"/>
        <w:ind w:left="0" w:firstLine="697"/>
        <w:jc w:val="both"/>
        <w:keepLines w:val="0"/>
        <w:keepNext w:val="0"/>
        <w:pageBreakBefore w:val="0"/>
        <w:spacing w:beforeAutospacing="0" w:afterAutospacing="0" w:line="44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856"/>
        <w:ind w:left="0" w:firstLine="697"/>
        <w:jc w:val="both"/>
        <w:keepLines w:val="0"/>
        <w:keepNext w:val="0"/>
        <w:pageBreakBefore w:val="0"/>
        <w:spacing w:beforeAutospacing="0" w:afterAutospacing="0" w:line="44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856"/>
        <w:ind w:left="0" w:firstLine="697"/>
        <w:jc w:val="both"/>
        <w:keepLines w:val="0"/>
        <w:keepNext w:val="0"/>
        <w:pageBreakBefore w:val="0"/>
        <w:spacing w:beforeAutospacing="0" w:afterAutospacing="0" w:line="44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856"/>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856"/>
        <w:ind w:left="0" w:right="480" w:firstLine="37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856"/>
        <w:jc w:val="center"/>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  日         </w:t>
      </w:r>
      <w:r/>
    </w:p>
    <w:p>
      <w:pPr>
        <w:pStyle w:val="856"/>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b/>
          <w:bCs/>
        </w:rPr>
      </w:r>
      <w:r/>
    </w:p>
    <w:p>
      <w:pPr>
        <w:pStyle w:val="856"/>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856"/>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856"/>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856"/>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856"/>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856"/>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pStyle w:val="856"/>
        <w:jc w:val="both"/>
        <w:keepLines w:val="0"/>
        <w:keepNext w:val="0"/>
        <w:spacing w:before="30" w:beforeAutospacing="0" w:after="30" w:afterAutospacing="0"/>
        <w:widowControl w:val="off"/>
        <w:rPr>
          <w:rFonts w:hint="eastAsia" w:ascii="宋体" w:hAnsi="宋体" w:eastAsia="宋体" w:cs="宋体"/>
          <w:b/>
          <w:bCs/>
          <w:color w:val="ff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56"/>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r>
      <w:r/>
    </w:p>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spacing w:line="241" w:lineRule="auto"/>
        <w:rPr>
          <w:rFonts w:ascii="Arial"/>
          <w:b/>
          <w:bCs/>
          <w:sz w:val="21"/>
        </w:rPr>
      </w:pPr>
      <w:r>
        <w:rPr>
          <w:rFonts w:ascii="Arial"/>
          <w:b/>
          <w:bCs/>
          <w:sz w:val="21"/>
        </w:rPr>
      </w:r>
      <w:r/>
    </w:p>
    <w:p>
      <w:pPr>
        <w:spacing w:line="241" w:lineRule="auto"/>
        <w:rPr>
          <w:rFonts w:ascii="Arial"/>
          <w:b/>
          <w:bCs/>
          <w:sz w:val="21"/>
        </w:rPr>
      </w:pPr>
      <w:r>
        <w:rPr>
          <w:rFonts w:ascii="Arial"/>
          <w:b/>
          <w:bCs/>
          <w:sz w:val="21"/>
        </w:rPr>
      </w:r>
      <w:r/>
    </w:p>
    <w:p>
      <w:pPr>
        <w:pStyle w:val="856"/>
        <w:jc w:val="center"/>
        <w:spacing w:beforeAutospacing="0" w:afterAutospacing="0" w:line="0" w:lineRule="atLeast"/>
        <w:rPr>
          <w:b/>
          <w:bCs/>
          <w:highlight w:val="none"/>
        </w:rPr>
      </w:pPr>
      <w:r>
        <w:rPr>
          <w:b/>
          <w:bCs/>
          <w:highlight w:val="none"/>
        </w:rPr>
        <w:t xml:space="preserve"> </w:t>
      </w:r>
      <w:r/>
    </w:p>
    <w:p>
      <w:pPr>
        <w:jc w:val="center"/>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r/>
    </w:p>
    <w:p>
      <w:pPr>
        <w:pStyle w:val="85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85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采购人名称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5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5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6"/>
        <w:ind w:firstLine="645"/>
        <w:jc w:val="both"/>
        <w:spacing w:beforeAutospacing="0" w:afterAutospacing="0" w:line="0" w:lineRule="atLeast"/>
        <w:rPr>
          <w:highlight w:val="none"/>
        </w:rPr>
      </w:pPr>
      <w:r>
        <w:rPr>
          <w:highlight w:val="none"/>
        </w:rPr>
        <w:t xml:space="preserve"> </w:t>
      </w:r>
      <w:r/>
    </w:p>
    <w:p>
      <w:pPr>
        <w:pStyle w:val="85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5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856"/>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85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pStyle w:val="856"/>
        <w:ind w:firstLine="645"/>
        <w:jc w:val="both"/>
        <w:spacing w:beforeAutospacing="0" w:afterAutospacing="0" w:line="0" w:lineRule="atLeast"/>
        <w:rPr>
          <w:highlight w:val="none"/>
        </w:rPr>
      </w:pPr>
      <w:r>
        <w:rPr>
          <w:highlight w:val="none"/>
        </w:rPr>
        <w:t xml:space="preserve"> </w:t>
      </w:r>
      <w:r/>
    </w:p>
    <w:p>
      <w:pPr>
        <w:pStyle w:val="856"/>
        <w:jc w:val="both"/>
        <w:spacing w:beforeAutospacing="0" w:afterAutospacing="0" w:line="0" w:lineRule="atLeast"/>
        <w:rPr>
          <w:highlight w:val="none"/>
        </w:rPr>
      </w:pPr>
      <w:r>
        <w:rPr>
          <w:highlight w:val="none"/>
        </w:rPr>
        <w:t xml:space="preserve"> </w:t>
      </w:r>
      <w:r/>
    </w:p>
    <w:p>
      <w:pPr>
        <w:pStyle w:val="856"/>
        <w:jc w:val="both"/>
        <w:spacing w:beforeAutospacing="0" w:afterAutospacing="0" w:line="0" w:lineRule="atLeast"/>
        <w:rPr>
          <w:highlight w:val="none"/>
        </w:rPr>
      </w:pPr>
      <w:r>
        <w:rPr>
          <w:highlight w:val="none"/>
        </w:rPr>
        <w:t xml:space="preserve"> </w:t>
      </w:r>
      <w:r/>
    </w:p>
    <w:p>
      <w:pPr>
        <w:pStyle w:val="856"/>
        <w:jc w:val="both"/>
        <w:spacing w:beforeAutospacing="0" w:afterAutospacing="0" w:line="0" w:lineRule="atLeast"/>
        <w:rPr>
          <w:highlight w:val="none"/>
        </w:rPr>
      </w:pPr>
      <w:r>
        <w:rPr>
          <w:highlight w:val="none"/>
        </w:rPr>
        <w:t xml:space="preserve"> </w:t>
      </w:r>
      <w:r/>
    </w:p>
    <w:p>
      <w:pPr>
        <w:pStyle w:val="856"/>
        <w:jc w:val="both"/>
        <w:spacing w:beforeAutospacing="0" w:afterAutospacing="0" w:line="0" w:lineRule="atLeast"/>
        <w:rPr>
          <w:highlight w:val="none"/>
        </w:rPr>
      </w:pPr>
      <w:r>
        <w:rPr>
          <w:highlight w:val="none"/>
        </w:rPr>
        <w:t xml:space="preserve"> </w:t>
      </w:r>
      <w:r/>
    </w:p>
    <w:p>
      <w:pPr>
        <w:pStyle w:val="856"/>
        <w:jc w:val="both"/>
        <w:spacing w:beforeAutospacing="0" w:afterAutospacing="0" w:line="0" w:lineRule="atLeast"/>
        <w:rPr>
          <w:highlight w:val="none"/>
        </w:rPr>
      </w:pPr>
      <w:r>
        <w:rPr>
          <w:highlight w:val="none"/>
        </w:rPr>
        <w:t xml:space="preserve"> </w:t>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r>
      <w:r/>
    </w:p>
    <w:p>
      <w:pPr>
        <w:pStyle w:val="856"/>
        <w:jc w:val="both"/>
        <w:spacing w:beforeAutospacing="0" w:afterAutospacing="0" w:line="0" w:lineRule="atLeast"/>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center"/>
        <w:spacing w:beforeAutospacing="0" w:afterAutospacing="0" w:line="0" w:lineRule="atLeast"/>
        <w:rPr>
          <w:rFonts w:hint="eastAsia" w:ascii="宋体" w:hAnsi="宋体" w:eastAsia="宋体" w:cs="宋体"/>
          <w:color w:val="000000"/>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、投标报价表</w:t>
      </w:r>
      <w:r/>
    </w:p>
    <w:tbl>
      <w:tblPr>
        <w:tblStyle w:val="857"/>
        <w:tblW w:w="887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737"/>
        <w:gridCol w:w="922"/>
        <w:gridCol w:w="1875"/>
        <w:gridCol w:w="870"/>
        <w:gridCol w:w="848"/>
        <w:gridCol w:w="989"/>
        <w:gridCol w:w="1831"/>
      </w:tblGrid>
      <w:tr>
        <w:trPr>
          <w:trHeight w:val="569"/>
          <w:tblHeader/>
        </w:trPr>
        <w:tc>
          <w:tcPr>
            <w:tcW w:w="803" w:type="dxa"/>
            <w:vAlign w:val="center"/>
            <w:textDirection w:val="lrTb"/>
            <w:noWrap w:val="false"/>
          </w:tcPr>
          <w:p>
            <w:pPr>
              <w:ind w:left="0" w:right="0" w:firstLine="0"/>
              <w:jc w:val="center"/>
              <w:rPr>
                <w:rFonts w:hint="eastAsia" w:ascii="Calibri" w:eastAsia="宋体"/>
                <w:b/>
                <w:sz w:val="21"/>
                <w:highlight w:val="none"/>
                <w:vertAlign w:val="baseline"/>
                <w:lang w:val="en-US" w:eastAsia="zh-CN"/>
              </w:rPr>
            </w:pPr>
            <w:r>
              <w:rPr>
                <w:rFonts w:hint="eastAsia" w:ascii="Calibri" w:eastAsia="宋体"/>
                <w:b/>
                <w:sz w:val="21"/>
                <w:highlight w:val="none"/>
                <w:vertAlign w:val="baseline"/>
                <w:lang w:val="en-US" w:eastAsia="zh-CN"/>
              </w:rPr>
              <w:t xml:space="preserve">序号</w:t>
            </w:r>
            <w:r/>
          </w:p>
        </w:tc>
        <w:tc>
          <w:tcPr>
            <w:tcW w:w="737" w:type="dxa"/>
            <w:vAlign w:val="center"/>
            <w:textDirection w:val="lrTb"/>
            <w:noWrap w:val="false"/>
          </w:tcPr>
          <w:p>
            <w:pPr>
              <w:ind w:left="0" w:right="0" w:firstLine="0"/>
              <w:jc w:val="center"/>
              <w:rPr>
                <w:rFonts w:hint="eastAsia" w:ascii="Calibri" w:eastAsia="宋体"/>
                <w:b/>
                <w:sz w:val="21"/>
                <w:highlight w:val="none"/>
                <w:vertAlign w:val="baseline"/>
                <w:lang w:val="en-US" w:eastAsia="zh-CN"/>
              </w:rPr>
            </w:pPr>
            <w:r>
              <w:rPr>
                <w:rFonts w:hint="eastAsia" w:ascii="Calibri" w:eastAsia="宋体"/>
                <w:b/>
                <w:sz w:val="21"/>
                <w:highlight w:val="none"/>
                <w:vertAlign w:val="baseline"/>
                <w:lang w:val="en-US" w:eastAsia="zh-CN"/>
              </w:rPr>
              <w:t xml:space="preserve">分类</w:t>
            </w:r>
            <w:r/>
          </w:p>
        </w:tc>
        <w:tc>
          <w:tcPr>
            <w:tcW w:w="922" w:type="dxa"/>
            <w:vAlign w:val="center"/>
            <w:textDirection w:val="lrTb"/>
            <w:noWrap w:val="false"/>
          </w:tcPr>
          <w:p>
            <w:pPr>
              <w:ind w:left="0" w:right="0" w:firstLine="0"/>
              <w:jc w:val="center"/>
              <w:rPr>
                <w:rFonts w:hint="eastAsia" w:ascii="Calibri" w:eastAsia="宋体"/>
                <w:b/>
                <w:sz w:val="21"/>
                <w:highlight w:val="none"/>
                <w:vertAlign w:val="baseline"/>
                <w:lang w:val="en-US" w:eastAsia="zh-CN"/>
              </w:rPr>
            </w:pPr>
            <w:r>
              <w:rPr>
                <w:rFonts w:hint="eastAsia" w:ascii="Calibri" w:eastAsia="宋体"/>
                <w:b/>
                <w:sz w:val="21"/>
                <w:highlight w:val="none"/>
                <w:vertAlign w:val="baseline"/>
                <w:lang w:val="en-US" w:eastAsia="zh-CN"/>
              </w:rPr>
              <w:t xml:space="preserve">分项</w:t>
            </w:r>
            <w:r/>
          </w:p>
          <w:p>
            <w:pPr>
              <w:ind w:left="0" w:right="0" w:firstLine="0"/>
              <w:jc w:val="center"/>
              <w:rPr>
                <w:rFonts w:hint="default" w:ascii="Calibri" w:eastAsia="宋体"/>
                <w:b/>
                <w:sz w:val="21"/>
                <w:highlight w:val="none"/>
                <w:vertAlign w:val="baseline"/>
                <w:lang w:val="en-US" w:eastAsia="zh-CN"/>
              </w:rPr>
            </w:pPr>
            <w:r>
              <w:rPr>
                <w:rFonts w:hint="eastAsia" w:ascii="Calibri" w:eastAsia="宋体"/>
                <w:b/>
                <w:sz w:val="21"/>
                <w:highlight w:val="none"/>
                <w:vertAlign w:val="baseline"/>
                <w:lang w:val="en-US" w:eastAsia="zh-CN"/>
              </w:rPr>
              <w:t xml:space="preserve">名称</w:t>
            </w:r>
            <w:r/>
          </w:p>
        </w:tc>
        <w:tc>
          <w:tcPr>
            <w:tcW w:w="1875" w:type="dxa"/>
            <w:vAlign w:val="center"/>
            <w:textDirection w:val="lrTb"/>
            <w:noWrap w:val="false"/>
          </w:tcPr>
          <w:p>
            <w:pPr>
              <w:ind w:left="0" w:right="0" w:firstLine="0"/>
              <w:jc w:val="center"/>
              <w:rPr>
                <w:rFonts w:hint="eastAsia" w:ascii="Calibri" w:hAnsi="宋体" w:eastAsia="宋体" w:cs="宋体"/>
                <w:b/>
                <w:sz w:val="21"/>
                <w:szCs w:val="24"/>
                <w:highlight w:val="none"/>
                <w:lang w:val="en-US" w:eastAsia="zh-CN"/>
              </w:rPr>
            </w:pPr>
            <w:r>
              <w:rPr>
                <w:rFonts w:hint="eastAsia" w:ascii="Calibri" w:hAnsi="宋体" w:eastAsia="宋体" w:cs="宋体"/>
                <w:b/>
                <w:sz w:val="21"/>
                <w:szCs w:val="24"/>
                <w:highlight w:val="none"/>
                <w:lang w:val="en-US" w:eastAsia="zh-CN"/>
              </w:rPr>
              <w:t xml:space="preserve">数量/要求</w:t>
            </w:r>
            <w:r/>
          </w:p>
        </w:tc>
        <w:tc>
          <w:tcPr>
            <w:tcW w:w="870" w:type="dxa"/>
            <w:vAlign w:val="center"/>
            <w:textDirection w:val="lrTb"/>
            <w:noWrap w:val="false"/>
          </w:tcPr>
          <w:p>
            <w:pPr>
              <w:ind w:left="0" w:right="0" w:firstLine="0"/>
              <w:jc w:val="center"/>
              <w:rPr>
                <w:rFonts w:hint="eastAsia" w:ascii="Calibri" w:hAnsi="宋体" w:eastAsia="宋体" w:cs="宋体"/>
                <w:b/>
                <w:sz w:val="21"/>
                <w:szCs w:val="24"/>
                <w:highlight w:val="none"/>
                <w:lang w:val="en-US" w:eastAsia="zh-CN"/>
              </w:rPr>
            </w:pPr>
            <w:r>
              <w:rPr>
                <w:rFonts w:hint="eastAsia" w:ascii="Calibri" w:hAnsi="宋体" w:eastAsia="宋体" w:cs="宋体"/>
                <w:b/>
                <w:sz w:val="21"/>
                <w:szCs w:val="24"/>
                <w:highlight w:val="none"/>
                <w:lang w:val="en-US" w:eastAsia="zh-CN"/>
              </w:rPr>
              <w:t xml:space="preserve">单位</w:t>
            </w:r>
            <w:r/>
          </w:p>
        </w:tc>
        <w:tc>
          <w:tcPr>
            <w:tcW w:w="848" w:type="dxa"/>
            <w:vAlign w:val="center"/>
            <w:textDirection w:val="lrTb"/>
            <w:noWrap w:val="false"/>
          </w:tcPr>
          <w:p>
            <w:pPr>
              <w:ind w:left="0" w:right="0" w:firstLine="0"/>
              <w:jc w:val="center"/>
              <w:rPr>
                <w:rFonts w:hint="eastAsia" w:ascii="Calibri" w:hAnsi="宋体" w:eastAsia="宋体" w:cs="宋体"/>
                <w:b/>
                <w:sz w:val="21"/>
                <w:szCs w:val="24"/>
                <w:highlight w:val="none"/>
                <w:lang w:val="en-US" w:eastAsia="zh-CN"/>
              </w:rPr>
            </w:pPr>
            <w:r>
              <w:rPr>
                <w:rFonts w:hint="eastAsia" w:ascii="Calibri" w:hAnsi="宋体" w:eastAsia="宋体" w:cs="宋体"/>
                <w:b/>
                <w:sz w:val="21"/>
                <w:szCs w:val="24"/>
                <w:highlight w:val="none"/>
                <w:lang w:val="en-US" w:eastAsia="zh-CN"/>
              </w:rPr>
              <w:t xml:space="preserve">单价（元）</w:t>
            </w:r>
            <w:r/>
          </w:p>
        </w:tc>
        <w:tc>
          <w:tcPr>
            <w:shd w:val="clear" w:color="auto" w:fill="auto"/>
            <w:tcW w:w="989" w:type="dxa"/>
            <w:vAlign w:val="center"/>
            <w:textDirection w:val="lrTb"/>
            <w:noWrap w:val="false"/>
          </w:tcPr>
          <w:p>
            <w:pPr>
              <w:ind w:left="0" w:right="0" w:firstLine="0"/>
              <w:jc w:val="center"/>
              <w:rPr>
                <w:rFonts w:hint="eastAsia" w:ascii="Calibri" w:hAnsi="宋体" w:eastAsia="宋体" w:cs="宋体"/>
                <w:b/>
                <w:sz w:val="21"/>
                <w:szCs w:val="24"/>
                <w:highlight w:val="none"/>
                <w:lang w:val="en-US" w:eastAsia="zh-CN"/>
              </w:rPr>
            </w:pPr>
            <w:r>
              <w:rPr>
                <w:rFonts w:hint="eastAsia" w:ascii="Calibri" w:hAnsi="宋体" w:eastAsia="宋体" w:cs="宋体"/>
                <w:b/>
                <w:sz w:val="21"/>
                <w:szCs w:val="24"/>
                <w:highlight w:val="none"/>
                <w:lang w:val="en-US" w:eastAsia="zh-CN"/>
              </w:rPr>
              <w:t xml:space="preserve">总价（元）</w:t>
            </w:r>
            <w:r/>
          </w:p>
        </w:tc>
        <w:tc>
          <w:tcPr>
            <w:shd w:val="clear" w:color="auto" w:fill="auto"/>
            <w:tcW w:w="1831" w:type="dxa"/>
            <w:vAlign w:val="center"/>
            <w:textDirection w:val="lrTb"/>
            <w:noWrap w:val="false"/>
          </w:tcPr>
          <w:p>
            <w:pPr>
              <w:ind w:left="0" w:right="0" w:firstLine="0"/>
              <w:jc w:val="center"/>
              <w:rPr>
                <w:rFonts w:hint="eastAsia" w:ascii="Calibri" w:hAnsi="宋体" w:eastAsia="宋体" w:cs="宋体"/>
                <w:b/>
                <w:sz w:val="21"/>
                <w:szCs w:val="24"/>
                <w:highlight w:val="none"/>
                <w:lang w:val="en-US" w:eastAsia="zh-CN"/>
              </w:rPr>
            </w:pPr>
            <w:r>
              <w:rPr>
                <w:rFonts w:hint="eastAsia" w:ascii="Calibri" w:hAnsi="宋体" w:eastAsia="宋体" w:cs="宋体"/>
                <w:b/>
                <w:sz w:val="21"/>
                <w:szCs w:val="24"/>
                <w:highlight w:val="none"/>
                <w:lang w:val="en-US" w:eastAsia="zh-CN"/>
              </w:rPr>
              <w:t xml:space="preserve">备注</w:t>
            </w:r>
            <w:r/>
          </w:p>
        </w:tc>
      </w:tr>
      <w:tr>
        <w:trPr>
          <w:trHeight w:val="0"/>
        </w:trPr>
        <w:tc>
          <w:tcPr>
            <w:tcW w:w="803" w:type="dxa"/>
            <w:vAlign w:val="center"/>
            <w:vMerge w:val="restart"/>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一</w:t>
            </w:r>
            <w:r/>
          </w:p>
        </w:tc>
        <w:tc>
          <w:tcPr>
            <w:tcW w:w="737" w:type="dxa"/>
            <w:vAlign w:val="center"/>
            <w:vMerge w:val="restart"/>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维保部分</w:t>
            </w:r>
            <w:r/>
          </w:p>
        </w:tc>
        <w:tc>
          <w:tcPr>
            <w:tcW w:w="922" w:type="dxa"/>
            <w:vAlign w:val="center"/>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灯控路口</w:t>
            </w:r>
            <w:r/>
          </w:p>
        </w:tc>
        <w:tc>
          <w:tcPr>
            <w:tcW w:w="1875" w:type="dxa"/>
            <w:vAlign w:val="center"/>
            <w:textDirection w:val="lrTb"/>
            <w:noWrap w:val="false"/>
          </w:tcPr>
          <w:p>
            <w:pPr>
              <w:ind w:left="0" w:right="0" w:firstLine="0"/>
              <w:jc w:val="left"/>
              <w:rPr>
                <w:rFonts w:hint="eastAsia" w:ascii="宋体" w:hAnsi="宋体" w:eastAsia="宋体" w:cs="宋体"/>
                <w:sz w:val="24"/>
                <w:szCs w:val="24"/>
                <w:highlight w:val="none"/>
              </w:rPr>
            </w:pPr>
            <w:r>
              <w:rPr>
                <w:rFonts w:ascii="宋体" w:hAnsi="宋体" w:eastAsia="宋体" w:cs="宋体"/>
                <w:sz w:val="24"/>
                <w:szCs w:val="24"/>
                <w:highlight w:val="none"/>
              </w:rPr>
              <w:t xml:space="preserve">125 个点位</w:t>
            </w:r>
            <w:r/>
          </w:p>
        </w:tc>
        <w:tc>
          <w:tcPr>
            <w:tcW w:w="870"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个/年</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hint="eastAsia" w:ascii="宋体" w:eastAsia="宋体" w:hAnsiTheme="minorHAnsi" w:cstheme="minorBidi"/>
                <w:sz w:val="24"/>
                <w:szCs w:val="24"/>
                <w:highlight w:val="none"/>
                <w:vertAlign w:val="baseline"/>
                <w:lang w:val="en-US" w:eastAsia="zh-CN" w:bidi="ar-SA"/>
              </w:rPr>
            </w:pPr>
            <w:r>
              <w:rPr>
                <w:rFonts w:ascii="宋体" w:hAnsi="宋体" w:eastAsia="宋体" w:cs="宋体"/>
                <w:sz w:val="24"/>
                <w:szCs w:val="24"/>
                <w:highlight w:val="none"/>
              </w:rPr>
              <w:t xml:space="preserve">含信号控制机、配套设备</w:t>
            </w:r>
            <w:r/>
          </w:p>
        </w:tc>
      </w:tr>
      <w:tr>
        <w:trPr>
          <w:trHeight w:val="0"/>
        </w:trPr>
        <w:tc>
          <w:tcPr>
            <w:tcW w:w="803" w:type="dxa"/>
            <w:vAlign w:val="center"/>
            <w:vMerge w:val="continue"/>
            <w:textDirection w:val="lrTb"/>
            <w:noWrap w:val="false"/>
          </w:tcPr>
          <w:p>
            <w:pPr>
              <w:ind w:left="0" w:right="0" w:firstLine="0"/>
              <w:jc w:val="center"/>
              <w:rPr>
                <w:rFonts w:hint="eastAsia" w:ascii="宋体" w:eastAsia="宋体"/>
                <w:sz w:val="24"/>
                <w:highlight w:val="none"/>
                <w:vertAlign w:val="baseline"/>
                <w:lang w:val="en-US" w:eastAsia="zh-CN"/>
              </w:rPr>
            </w:pPr>
            <w:r>
              <w:rPr>
                <w:rFonts w:hint="eastAsia" w:ascii="宋体" w:eastAsia="宋体"/>
                <w:sz w:val="24"/>
                <w:highlight w:val="none"/>
                <w:vertAlign w:val="baseline"/>
                <w:lang w:val="en-US" w:eastAsia="zh-CN"/>
              </w:rPr>
            </w:r>
            <w:r/>
          </w:p>
        </w:tc>
        <w:tc>
          <w:tcPr>
            <w:tcW w:w="737" w:type="dxa"/>
            <w:vAlign w:val="center"/>
            <w:vMerge w:val="continue"/>
            <w:textDirection w:val="lrTb"/>
            <w:noWrap w:val="false"/>
          </w:tcPr>
          <w:p>
            <w:pPr>
              <w:ind w:left="0" w:right="0" w:firstLine="0"/>
              <w:jc w:val="center"/>
              <w:rPr>
                <w:rFonts w:hint="eastAsia" w:ascii="宋体" w:eastAsia="宋体"/>
                <w:sz w:val="24"/>
                <w:highlight w:val="none"/>
                <w:vertAlign w:val="baseline"/>
              </w:rPr>
            </w:pPr>
            <w:r>
              <w:rPr>
                <w:rFonts w:hint="eastAsia" w:ascii="宋体" w:eastAsia="宋体"/>
                <w:sz w:val="24"/>
                <w:highlight w:val="none"/>
                <w:vertAlign w:val="baseline"/>
              </w:rPr>
            </w:r>
            <w:r/>
          </w:p>
        </w:tc>
        <w:tc>
          <w:tcPr>
            <w:tcW w:w="922" w:type="dxa"/>
            <w:vAlign w:val="center"/>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区间测速</w:t>
            </w:r>
            <w:r/>
          </w:p>
        </w:tc>
        <w:tc>
          <w:tcPr>
            <w:tcW w:w="1875"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27 套设备</w:t>
            </w:r>
            <w:r/>
          </w:p>
        </w:tc>
        <w:tc>
          <w:tcPr>
            <w:tcW w:w="870"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ascii="宋体" w:hAnsi="宋体" w:eastAsia="宋体" w:cs="宋体"/>
                <w:sz w:val="24"/>
                <w:szCs w:val="24"/>
                <w:highlight w:val="none"/>
                <w:lang w:val="en-US" w:eastAsia="zh-CN" w:bidi="ar"/>
              </w:rPr>
              <w:t xml:space="preserve">套/年</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hint="eastAsia" w:ascii="宋体" w:eastAsia="宋体" w:hAnsiTheme="minorHAnsi" w:cstheme="minorBidi"/>
                <w:sz w:val="24"/>
                <w:szCs w:val="24"/>
                <w:highlight w:val="none"/>
                <w:vertAlign w:val="baseline"/>
                <w:lang w:val="en-US" w:eastAsia="zh-CN" w:bidi="ar-SA"/>
              </w:rPr>
            </w:pPr>
            <w:r>
              <w:rPr>
                <w:rFonts w:ascii="宋体" w:hAnsi="宋体" w:eastAsia="宋体" w:cs="宋体"/>
                <w:sz w:val="24"/>
                <w:szCs w:val="24"/>
                <w:highlight w:val="none"/>
              </w:rPr>
              <w:t xml:space="preserve">含测速主机、抓拍单元</w:t>
            </w:r>
            <w:r/>
          </w:p>
        </w:tc>
      </w:tr>
      <w:tr>
        <w:trPr>
          <w:trHeight w:val="0"/>
        </w:trPr>
        <w:tc>
          <w:tcPr>
            <w:tcW w:w="803" w:type="dxa"/>
            <w:vAlign w:val="center"/>
            <w:vMerge w:val="continue"/>
            <w:textDirection w:val="lrTb"/>
            <w:noWrap w:val="false"/>
          </w:tcPr>
          <w:p>
            <w:pPr>
              <w:ind w:left="0" w:right="0" w:firstLine="0"/>
              <w:jc w:val="center"/>
              <w:rPr>
                <w:rFonts w:hint="eastAsia" w:ascii="宋体" w:eastAsia="宋体"/>
                <w:sz w:val="24"/>
                <w:highlight w:val="none"/>
                <w:vertAlign w:val="baseline"/>
                <w:lang w:val="en-US" w:eastAsia="zh-CN"/>
              </w:rPr>
            </w:pPr>
            <w:r>
              <w:rPr>
                <w:rFonts w:hint="eastAsia" w:ascii="宋体" w:eastAsia="宋体"/>
                <w:sz w:val="24"/>
                <w:highlight w:val="none"/>
                <w:vertAlign w:val="baseline"/>
                <w:lang w:val="en-US" w:eastAsia="zh-CN"/>
              </w:rPr>
            </w:r>
            <w:r/>
          </w:p>
        </w:tc>
        <w:tc>
          <w:tcPr>
            <w:tcW w:w="737" w:type="dxa"/>
            <w:vAlign w:val="center"/>
            <w:vMerge w:val="continue"/>
            <w:textDirection w:val="lrTb"/>
            <w:noWrap w:val="false"/>
          </w:tcPr>
          <w:p>
            <w:pPr>
              <w:ind w:left="0" w:right="0" w:firstLine="0"/>
              <w:jc w:val="center"/>
              <w:rPr>
                <w:rFonts w:hint="eastAsia" w:ascii="宋体" w:eastAsia="宋体"/>
                <w:sz w:val="24"/>
                <w:highlight w:val="none"/>
                <w:vertAlign w:val="baseline"/>
              </w:rPr>
            </w:pPr>
            <w:r>
              <w:rPr>
                <w:rFonts w:hint="eastAsia" w:ascii="宋体" w:eastAsia="宋体"/>
                <w:sz w:val="24"/>
                <w:highlight w:val="none"/>
                <w:vertAlign w:val="baseline"/>
              </w:rPr>
            </w:r>
            <w:r/>
          </w:p>
        </w:tc>
        <w:tc>
          <w:tcPr>
            <w:tcW w:w="922" w:type="dxa"/>
            <w:vAlign w:val="center"/>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违停抓拍</w:t>
            </w:r>
            <w:r/>
          </w:p>
        </w:tc>
        <w:tc>
          <w:tcPr>
            <w:tcW w:w="1875"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75 套设备</w:t>
            </w:r>
            <w:r/>
          </w:p>
        </w:tc>
        <w:tc>
          <w:tcPr>
            <w:tcW w:w="870"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ascii="宋体" w:hAnsi="宋体" w:eastAsia="宋体" w:cs="宋体"/>
                <w:sz w:val="24"/>
                <w:szCs w:val="24"/>
                <w:highlight w:val="none"/>
                <w:lang w:val="en-US" w:eastAsia="zh-CN" w:bidi="ar"/>
              </w:rPr>
              <w:t xml:space="preserve">套/年</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hint="eastAsia" w:ascii="宋体" w:eastAsia="宋体" w:hAnsiTheme="minorHAnsi" w:cstheme="minorBidi"/>
                <w:sz w:val="24"/>
                <w:szCs w:val="24"/>
                <w:highlight w:val="none"/>
                <w:vertAlign w:val="baseline"/>
                <w:lang w:val="en-US" w:eastAsia="zh-CN" w:bidi="ar-SA"/>
              </w:rPr>
            </w:pPr>
            <w:r>
              <w:rPr>
                <w:rFonts w:ascii="宋体" w:hAnsi="宋体" w:eastAsia="宋体" w:cs="宋体"/>
                <w:sz w:val="24"/>
                <w:szCs w:val="24"/>
                <w:highlight w:val="none"/>
              </w:rPr>
              <w:t xml:space="preserve">含抓拍相机、补光设备</w:t>
            </w:r>
            <w:r/>
          </w:p>
        </w:tc>
      </w:tr>
      <w:tr>
        <w:trPr>
          <w:trHeight w:val="0"/>
        </w:trPr>
        <w:tc>
          <w:tcPr>
            <w:tcW w:w="803" w:type="dxa"/>
            <w:vAlign w:val="center"/>
            <w:vMerge w:val="continue"/>
            <w:textDirection w:val="lrTb"/>
            <w:noWrap w:val="false"/>
          </w:tcPr>
          <w:p>
            <w:pPr>
              <w:ind w:left="0" w:right="0" w:firstLine="0"/>
              <w:jc w:val="center"/>
              <w:rPr>
                <w:rFonts w:hint="eastAsia" w:ascii="宋体" w:eastAsia="宋体"/>
                <w:sz w:val="24"/>
                <w:highlight w:val="none"/>
                <w:vertAlign w:val="baseline"/>
                <w:lang w:val="en-US" w:eastAsia="zh-CN"/>
              </w:rPr>
            </w:pPr>
            <w:r>
              <w:rPr>
                <w:rFonts w:hint="eastAsia" w:ascii="宋体" w:eastAsia="宋体"/>
                <w:sz w:val="24"/>
                <w:highlight w:val="none"/>
                <w:vertAlign w:val="baseline"/>
                <w:lang w:val="en-US" w:eastAsia="zh-CN"/>
              </w:rPr>
            </w:r>
            <w:r/>
          </w:p>
        </w:tc>
        <w:tc>
          <w:tcPr>
            <w:tcW w:w="737" w:type="dxa"/>
            <w:vAlign w:val="center"/>
            <w:vMerge w:val="continue"/>
            <w:textDirection w:val="lrTb"/>
            <w:noWrap w:val="false"/>
          </w:tcPr>
          <w:p>
            <w:pPr>
              <w:ind w:left="0" w:right="0" w:firstLine="0"/>
              <w:jc w:val="center"/>
              <w:rPr>
                <w:rFonts w:hint="eastAsia" w:ascii="宋体" w:eastAsia="宋体"/>
                <w:sz w:val="24"/>
                <w:highlight w:val="none"/>
                <w:vertAlign w:val="baseline"/>
              </w:rPr>
            </w:pPr>
            <w:r>
              <w:rPr>
                <w:rFonts w:hint="eastAsia" w:ascii="宋体" w:eastAsia="宋体"/>
                <w:sz w:val="24"/>
                <w:highlight w:val="none"/>
                <w:vertAlign w:val="baseline"/>
              </w:rPr>
            </w:r>
            <w:r/>
          </w:p>
        </w:tc>
        <w:tc>
          <w:tcPr>
            <w:tcW w:w="922" w:type="dxa"/>
            <w:vAlign w:val="center"/>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市县际卡口</w:t>
            </w:r>
            <w:r/>
          </w:p>
        </w:tc>
        <w:tc>
          <w:tcPr>
            <w:tcW w:w="1875"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23 个点位</w:t>
            </w:r>
            <w:r/>
          </w:p>
        </w:tc>
        <w:tc>
          <w:tcPr>
            <w:tcW w:w="870"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个/年</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hint="eastAsia" w:ascii="宋体" w:eastAsia="宋体" w:hAnsiTheme="minorHAnsi" w:cstheme="minorBidi"/>
                <w:sz w:val="24"/>
                <w:szCs w:val="24"/>
                <w:highlight w:val="none"/>
                <w:vertAlign w:val="baseline"/>
                <w:lang w:val="en-US" w:eastAsia="zh-CN" w:bidi="ar-SA"/>
              </w:rPr>
            </w:pPr>
            <w:r>
              <w:rPr>
                <w:rFonts w:ascii="宋体" w:hAnsi="宋体" w:eastAsia="宋体" w:cs="宋体"/>
                <w:sz w:val="24"/>
                <w:szCs w:val="24"/>
                <w:highlight w:val="none"/>
              </w:rPr>
              <w:t xml:space="preserve">含卡口抓拍设备、终端设备</w:t>
            </w:r>
            <w:r/>
          </w:p>
        </w:tc>
      </w:tr>
      <w:tr>
        <w:trPr>
          <w:trHeight w:val="0"/>
        </w:trPr>
        <w:tc>
          <w:tcPr>
            <w:tcW w:w="803" w:type="dxa"/>
            <w:vAlign w:val="center"/>
            <w:vMerge w:val="continue"/>
            <w:textDirection w:val="lrTb"/>
            <w:noWrap w:val="false"/>
          </w:tcPr>
          <w:p>
            <w:pPr>
              <w:ind w:left="0" w:right="0" w:firstLine="0"/>
              <w:jc w:val="center"/>
              <w:rPr>
                <w:rFonts w:hint="eastAsia" w:ascii="宋体" w:eastAsia="宋体"/>
                <w:sz w:val="24"/>
                <w:highlight w:val="none"/>
                <w:vertAlign w:val="baseline"/>
                <w:lang w:val="en-US" w:eastAsia="zh-CN"/>
              </w:rPr>
            </w:pPr>
            <w:r>
              <w:rPr>
                <w:rFonts w:hint="eastAsia" w:ascii="宋体" w:eastAsia="宋体"/>
                <w:sz w:val="24"/>
                <w:highlight w:val="none"/>
                <w:vertAlign w:val="baseline"/>
                <w:lang w:val="en-US" w:eastAsia="zh-CN"/>
              </w:rPr>
            </w:r>
            <w:r/>
          </w:p>
        </w:tc>
        <w:tc>
          <w:tcPr>
            <w:tcW w:w="737" w:type="dxa"/>
            <w:vAlign w:val="center"/>
            <w:vMerge w:val="continue"/>
            <w:textDirection w:val="lrTb"/>
            <w:noWrap w:val="false"/>
          </w:tcPr>
          <w:p>
            <w:pPr>
              <w:ind w:left="0" w:right="0" w:firstLine="0"/>
              <w:jc w:val="center"/>
              <w:rPr>
                <w:rFonts w:hint="eastAsia" w:ascii="宋体" w:eastAsia="宋体"/>
                <w:sz w:val="24"/>
                <w:highlight w:val="none"/>
                <w:vertAlign w:val="baseline"/>
              </w:rPr>
            </w:pPr>
            <w:r>
              <w:rPr>
                <w:rFonts w:hint="eastAsia" w:ascii="宋体" w:eastAsia="宋体"/>
                <w:sz w:val="24"/>
                <w:highlight w:val="none"/>
                <w:vertAlign w:val="baseline"/>
              </w:rPr>
            </w:r>
            <w:r/>
          </w:p>
        </w:tc>
        <w:tc>
          <w:tcPr>
            <w:tcW w:w="922" w:type="dxa"/>
            <w:vAlign w:val="center"/>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前端感知资产</w:t>
            </w:r>
            <w:r/>
          </w:p>
        </w:tc>
        <w:tc>
          <w:tcPr>
            <w:tcW w:w="1875"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8080 路设备（含视频监控、采集终端等）</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路/年</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hint="eastAsia" w:ascii="宋体" w:eastAsia="宋体" w:hAnsiTheme="minorHAnsi" w:cstheme="minorBidi"/>
                <w:sz w:val="24"/>
                <w:szCs w:val="24"/>
                <w:highlight w:val="none"/>
                <w:vertAlign w:val="baseline"/>
                <w:lang w:val="en-US" w:eastAsia="zh-CN" w:bidi="ar-SA"/>
              </w:rPr>
            </w:pPr>
            <w:r>
              <w:rPr>
                <w:rFonts w:ascii="宋体" w:hAnsi="宋体" w:eastAsia="宋体" w:cs="宋体"/>
                <w:sz w:val="24"/>
                <w:szCs w:val="24"/>
                <w:highlight w:val="none"/>
              </w:rPr>
              <w:t xml:space="preserve">含视频监控、数据采集终端等</w:t>
            </w:r>
            <w:r/>
          </w:p>
        </w:tc>
      </w:tr>
      <w:tr>
        <w:trPr>
          <w:trHeight w:val="0"/>
        </w:trPr>
        <w:tc>
          <w:tcPr>
            <w:tcW w:w="803" w:type="dxa"/>
            <w:vAlign w:val="center"/>
            <w:textDirection w:val="lrTb"/>
            <w:noWrap w:val="false"/>
          </w:tcPr>
          <w:p>
            <w:pPr>
              <w:ind w:left="0" w:right="0" w:firstLine="0"/>
              <w:jc w:val="center"/>
              <w:rPr>
                <w:rFonts w:hint="eastAsia"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二</w:t>
            </w:r>
            <w:r/>
          </w:p>
        </w:tc>
        <w:tc>
          <w:tcPr>
            <w:tcW w:w="737" w:type="dxa"/>
            <w:vAlign w:val="center"/>
            <w:textDirection w:val="lrTb"/>
            <w:noWrap w:val="false"/>
          </w:tcPr>
          <w:p>
            <w:pPr>
              <w:ind w:left="0" w:right="0" w:firstLine="0"/>
              <w:jc w:val="center"/>
              <w:rPr>
                <w:rFonts w:hint="eastAsia" w:ascii="宋体" w:eastAsia="宋体"/>
                <w:sz w:val="24"/>
                <w:highlight w:val="none"/>
                <w:vertAlign w:val="baseline"/>
              </w:rPr>
            </w:pPr>
            <w:r>
              <w:rPr>
                <w:rFonts w:ascii="宋体" w:hAnsi="宋体" w:eastAsia="宋体" w:cs="宋体"/>
                <w:sz w:val="24"/>
                <w:szCs w:val="24"/>
                <w:highlight w:val="none"/>
              </w:rPr>
              <w:t xml:space="preserve">备品备件</w:t>
            </w:r>
            <w:r/>
          </w:p>
        </w:tc>
        <w:tc>
          <w:tcPr>
            <w:tcW w:w="922" w:type="dxa"/>
            <w:vAlign w:val="center"/>
            <w:textDirection w:val="lrTb"/>
            <w:noWrap w:val="false"/>
          </w:tcPr>
          <w:p>
            <w:pPr>
              <w:ind w:left="0" w:right="0" w:firstLine="0"/>
              <w:jc w:val="center"/>
              <w:rPr>
                <w:rFonts w:hint="eastAsia" w:ascii="宋体" w:hAnsi="宋体" w:eastAsia="宋体" w:cs="宋体"/>
                <w:sz w:val="24"/>
                <w:szCs w:val="24"/>
                <w:highlight w:val="none"/>
              </w:rPr>
            </w:pPr>
            <w:r>
              <w:rPr>
                <w:rFonts w:ascii="宋体" w:hAnsi="宋体" w:eastAsia="宋体" w:cs="宋体"/>
                <w:sz w:val="24"/>
                <w:szCs w:val="24"/>
                <w:highlight w:val="none"/>
              </w:rPr>
              <w:t xml:space="preserve">备品备件</w:t>
            </w:r>
            <w:r/>
          </w:p>
        </w:tc>
        <w:tc>
          <w:tcPr>
            <w:tcW w:w="1875" w:type="dxa"/>
            <w:vAlign w:val="center"/>
            <w:textDirection w:val="lrTb"/>
            <w:noWrap w:val="false"/>
          </w:tcPr>
          <w:p>
            <w:pPr>
              <w:ind w:left="0" w:right="0" w:firstLine="0"/>
              <w:jc w:val="left"/>
              <w:rPr>
                <w:rFonts w:hint="eastAsia" w:ascii="宋体" w:eastAsia="宋体"/>
                <w:sz w:val="24"/>
                <w:highlight w:val="none"/>
                <w:vertAlign w:val="baseline"/>
              </w:rPr>
            </w:pPr>
            <w:r>
              <w:rPr>
                <w:rFonts w:ascii="宋体" w:hAnsi="宋体" w:eastAsia="宋体" w:cs="宋体"/>
                <w:sz w:val="24"/>
                <w:szCs w:val="24"/>
                <w:highlight w:val="none"/>
              </w:rPr>
              <w:t xml:space="preserve">满足采购人实际使用需求，设备需与原系统兼容，备件需为原品牌正品</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批</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hint="eastAsia" w:eastAsia="宋体"/>
                <w:highlight w:val="none"/>
                <w:lang w:val="en-US" w:eastAsia="zh-CN"/>
              </w:rPr>
            </w:pPr>
            <w:r>
              <w:rPr>
                <w:rFonts w:ascii="宋体" w:hAnsi="宋体" w:eastAsia="宋体" w:cs="宋体"/>
                <w:sz w:val="24"/>
                <w:szCs w:val="24"/>
                <w:highlight w:val="none"/>
              </w:rPr>
              <w:t xml:space="preserve">设备需与原系统兼容，备件为原品牌正品</w:t>
            </w:r>
            <w:r>
              <w:rPr>
                <w:rFonts w:hint="eastAsia" w:ascii="宋体" w:hAnsi="宋体" w:eastAsia="宋体" w:cs="宋体"/>
                <w:sz w:val="24"/>
                <w:szCs w:val="24"/>
                <w:highlight w:val="none"/>
                <w:lang w:eastAsia="zh-CN"/>
              </w:rPr>
              <w:t xml:space="preserve">。</w:t>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1</w:t>
            </w:r>
            <w:r/>
          </w:p>
        </w:tc>
        <w:tc>
          <w:tcPr>
            <w:tcW w:w="737" w:type="dxa"/>
            <w:vAlign w:val="center"/>
            <w:vMerge w:val="restart"/>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满屏信号灯</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2</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箭头信号灯</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3</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人行横道灯</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4</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1200W电警</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5</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900W电警</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6</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900W卡口</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7</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400W双目球机</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8</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违停球</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9</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400W结构化</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10</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频闪灯</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11</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四合一闪光灯</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12</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倒计时</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13</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广域雷达</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14</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前端存储设备-常规路口</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15</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信号机配件-主控板</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16</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信号机配件-核心板</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17</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信号机配件-灯驱板</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18</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信号机配件-电源单元</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19</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信号机配件-优化板</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20</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倒计时信号输出控制板</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21</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行人闯红灯信息发布盒子</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22</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4光8电交换机</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23</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信号控制主机</w:t>
            </w:r>
            <w:r/>
          </w:p>
        </w:tc>
        <w:tc>
          <w:tcPr>
            <w:tcW w:w="1875" w:type="dxa"/>
            <w:vAlign w:val="center"/>
            <w:textDirection w:val="lrTb"/>
            <w:noWrap w:val="false"/>
          </w:tcPr>
          <w:p>
            <w:pPr>
              <w:jc w:val="center"/>
              <w:keepLines w:val="0"/>
              <w:keepNext w:val="0"/>
              <w:widowControl/>
              <w:rPr>
                <w:rFonts w:ascii="宋体" w:hAnsi="宋体" w:eastAsia="宋体" w:cs="宋体"/>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24</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电源线</w:t>
            </w:r>
            <w:r/>
          </w:p>
        </w:tc>
        <w:tc>
          <w:tcPr>
            <w:tcW w:w="1875" w:type="dxa"/>
            <w:vAlign w:val="center"/>
            <w:textDirection w:val="lrTb"/>
            <w:noWrap w:val="false"/>
          </w:tcPr>
          <w:p>
            <w:pPr>
              <w:ind w:left="0" w:right="0" w:firstLine="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电源线 RVV14×2.5mm²</w:t>
            </w:r>
            <w:r>
              <w:rPr>
                <w:rFonts w:hint="eastAsia" w:ascii="宋体" w:hAnsi="宋体" w:eastAsia="宋体" w:cs="宋体"/>
                <w:sz w:val="24"/>
                <w:szCs w:val="24"/>
                <w:highlight w:val="none"/>
                <w:lang w:val="en-US" w:eastAsia="zh-CN"/>
              </w:rPr>
              <w:t xml:space="preserve">（1批）</w:t>
            </w:r>
            <w:r/>
          </w:p>
        </w:tc>
        <w:tc>
          <w:tcPr>
            <w:tcW w:w="870" w:type="dxa"/>
            <w:vAlign w:val="center"/>
            <w:textDirection w:val="lrTb"/>
            <w:noWrap w:val="false"/>
          </w:tcPr>
          <w:p>
            <w:pPr>
              <w:ind w:left="0" w:right="0" w:firstLine="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批</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25</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电源线</w:t>
            </w:r>
            <w:r/>
          </w:p>
        </w:tc>
        <w:tc>
          <w:tcPr>
            <w:tcW w:w="1875" w:type="dxa"/>
            <w:vAlign w:val="center"/>
            <w:textDirection w:val="lrTb"/>
            <w:noWrap w:val="false"/>
          </w:tcPr>
          <w:p>
            <w:pPr>
              <w:ind w:left="0" w:righ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电源线 3*6mm²（1批）</w:t>
            </w:r>
            <w:r/>
          </w:p>
        </w:tc>
        <w:tc>
          <w:tcPr>
            <w:tcW w:w="870" w:type="dxa"/>
            <w:vAlign w:val="center"/>
            <w:textDirection w:val="lrTb"/>
            <w:noWrap w:val="false"/>
          </w:tcPr>
          <w:p>
            <w:pPr>
              <w:ind w:left="0" w:right="0" w:firstLine="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批</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26</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电源线</w:t>
            </w:r>
            <w:r/>
          </w:p>
        </w:tc>
        <w:tc>
          <w:tcPr>
            <w:tcW w:w="1875" w:type="dxa"/>
            <w:vAlign w:val="center"/>
            <w:textDirection w:val="lrTb"/>
            <w:noWrap w:val="false"/>
          </w:tcPr>
          <w:p>
            <w:pPr>
              <w:ind w:left="0" w:right="0" w:firstLine="0"/>
              <w:jc w:val="left"/>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电源线3*2.5mm² （1批）</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批</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27</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电源线</w:t>
            </w:r>
            <w:r/>
          </w:p>
        </w:tc>
        <w:tc>
          <w:tcPr>
            <w:tcW w:w="1875" w:type="dxa"/>
            <w:vAlign w:val="center"/>
            <w:textDirection w:val="lrTb"/>
            <w:noWrap w:val="false"/>
          </w:tcPr>
          <w:p>
            <w:pPr>
              <w:ind w:left="0" w:right="0" w:firstLine="0"/>
              <w:jc w:val="left"/>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电源线 *1.0mm² （1批）</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批</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28</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通讯线</w:t>
            </w:r>
            <w:r/>
          </w:p>
        </w:tc>
        <w:tc>
          <w:tcPr>
            <w:tcW w:w="1875" w:type="dxa"/>
            <w:vAlign w:val="center"/>
            <w:textDirection w:val="lrTb"/>
            <w:noWrap w:val="false"/>
          </w:tcPr>
          <w:p>
            <w:pPr>
              <w:ind w:left="0" w:right="0" w:firstLine="0"/>
              <w:jc w:val="left"/>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通讯线 RVSP4×0.5mm²（1批）</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批</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0"/>
        </w:trPr>
        <w:tc>
          <w:tcPr>
            <w:tcW w:w="803" w:type="dxa"/>
            <w:vAlign w:val="center"/>
            <w:textDirection w:val="lrTb"/>
            <w:noWrap w:val="false"/>
          </w:tcPr>
          <w:p>
            <w:pPr>
              <w:ind w:left="0" w:right="0" w:firstLine="0"/>
              <w:jc w:val="center"/>
              <w:rPr>
                <w:rFonts w:hint="default" w:ascii="宋体" w:eastAsia="宋体"/>
                <w:sz w:val="24"/>
                <w:highlight w:val="none"/>
                <w:vertAlign w:val="baseline"/>
                <w:lang w:val="en-US" w:eastAsia="zh-CN"/>
              </w:rPr>
            </w:pPr>
            <w:r>
              <w:rPr>
                <w:rFonts w:hint="eastAsia" w:ascii="宋体" w:eastAsia="宋体"/>
                <w:sz w:val="24"/>
                <w:highlight w:val="none"/>
                <w:vertAlign w:val="baseline"/>
                <w:lang w:val="en-US" w:eastAsia="zh-CN"/>
              </w:rPr>
              <w:t xml:space="preserve">29</w:t>
            </w:r>
            <w:r/>
          </w:p>
        </w:tc>
        <w:tc>
          <w:tcPr>
            <w:tcW w:w="737" w:type="dxa"/>
            <w:vAlign w:val="center"/>
            <w:vMerge w:val="continue"/>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922" w:type="dxa"/>
            <w:vAlign w:val="center"/>
            <w:textDirection w:val="lrTb"/>
            <w:noWrap w:val="false"/>
          </w:tcPr>
          <w:p>
            <w:pPr>
              <w:ind w:left="0" w:right="0"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网线</w:t>
            </w:r>
            <w:r/>
          </w:p>
        </w:tc>
        <w:tc>
          <w:tcPr>
            <w:tcW w:w="1875" w:type="dxa"/>
            <w:vAlign w:val="center"/>
            <w:textDirection w:val="lrTb"/>
            <w:noWrap w:val="false"/>
          </w:tcPr>
          <w:p>
            <w:pPr>
              <w:ind w:left="0" w:right="0" w:firstLine="0"/>
              <w:jc w:val="left"/>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网线 室外超六类线 （1批）</w:t>
            </w:r>
            <w:r/>
          </w:p>
        </w:tc>
        <w:tc>
          <w:tcPr>
            <w:tcW w:w="870"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批</w:t>
            </w:r>
            <w:r/>
          </w:p>
        </w:tc>
        <w:tc>
          <w:tcPr>
            <w:tcW w:w="848"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989" w:type="dxa"/>
            <w:vAlign w:val="center"/>
            <w:textDirection w:val="lrTb"/>
            <w:noWrap w:val="false"/>
          </w:tcPr>
          <w:p>
            <w:pPr>
              <w:ind w:left="0" w:right="0"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1831"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r>
        <w:trPr>
          <w:trHeight w:val="693"/>
        </w:trPr>
        <w:tc>
          <w:tcPr>
            <w:gridSpan w:val="3"/>
            <w:tcW w:w="2462"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投标总报价</w:t>
            </w:r>
            <w:r/>
          </w:p>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（人民币：元）</w:t>
            </w:r>
            <w:r/>
          </w:p>
        </w:tc>
        <w:tc>
          <w:tcPr>
            <w:gridSpan w:val="5"/>
            <w:tcW w:w="6413" w:type="dxa"/>
            <w:vAlign w:val="center"/>
            <w:textDirection w:val="lrTb"/>
            <w:noWrap w:val="false"/>
          </w:tcPr>
          <w:p>
            <w:pPr>
              <w:ind w:left="0" w:right="0" w:firstLine="0"/>
              <w:jc w:val="left"/>
              <w:rPr>
                <w:rFonts w:ascii="宋体" w:hAnsi="宋体" w:eastAsia="宋体" w:cs="宋体"/>
                <w:sz w:val="24"/>
                <w:szCs w:val="24"/>
                <w:highlight w:val="none"/>
              </w:rPr>
            </w:pPr>
            <w:r>
              <w:rPr>
                <w:rFonts w:ascii="宋体" w:hAnsi="宋体" w:eastAsia="宋体" w:cs="宋体"/>
                <w:sz w:val="24"/>
                <w:szCs w:val="24"/>
                <w:highlight w:val="none"/>
              </w:rPr>
            </w:r>
            <w:r/>
          </w:p>
        </w:tc>
      </w:tr>
    </w:tbl>
    <w:p>
      <w:pPr>
        <w:pStyle w:val="856"/>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报价说明：投标人须对覆盖区域进行全面的现场勘测，结合现场情况综合报价，中标后不得因踏勘不全增加任何费用。投标报价除标的物的价款外还应包含完成本项目所确定的全部内容中所必须的备品备件运输、全程维保服务、配件、耗材及材料费、人工费、维护费、试验费、安全措施费、与采购人及相关部门现有系统的接口、对接等费用、食宿、车旅费、社会保险、公积金、不可预见性风险费、招标代理费按</w:t>
      </w:r>
      <w:r>
        <w:rPr>
          <w:rFonts w:hint="eastAsia" w:ascii="宋体" w:hAnsi="宋体" w:eastAsia="宋体" w:cs="宋体"/>
          <w:color w:val="000000"/>
          <w:highlight w:val="none"/>
          <w:lang w:val="en-US" w:eastAsia="zh-CN"/>
        </w:rPr>
        <w:t xml:space="preserve">国家现行收费标准的19.5%</w:t>
      </w:r>
      <w:r>
        <w:rPr>
          <w:rFonts w:hint="eastAsia" w:ascii="宋体" w:hAnsi="宋体" w:eastAsia="宋体" w:cs="宋体"/>
          <w:color w:val="000000"/>
          <w:highlight w:val="none"/>
        </w:rPr>
        <w:t xml:space="preserve">收取（由中标人在领取中标通知书时支付）、直接成本、间接成本、风险、税金、规费、合理利润等有可能发生的全部费用。投标报价应包括招标文件所确定的招标范围内所必须的全部费用，招标人不再另行支付其他费用。</w:t>
      </w:r>
      <w:r/>
    </w:p>
    <w:p>
      <w:pPr>
        <w:pStyle w:val="8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2.“投标报价表”数额应当与“开标一览表”中“投标总报价”数额一致。</w:t>
      </w:r>
      <w:r/>
    </w:p>
    <w:p>
      <w:pPr>
        <w:pStyle w:val="856"/>
        <w:ind w:firstLine="480"/>
        <w:jc w:val="both"/>
        <w:spacing w:beforeAutospacing="0" w:afterAutospacing="0" w:line="0" w:lineRule="atLeast"/>
        <w:rPr>
          <w:rFonts w:hint="eastAsia" w:ascii="宋体" w:hAnsi="宋体" w:eastAsia="宋体" w:cs="宋体"/>
          <w:b/>
          <w:bCs/>
          <w:color w:val="000000"/>
          <w:sz w:val="24"/>
          <w:szCs w:val="24"/>
          <w:highlight w:val="yellow"/>
          <w:lang w:val="en-US" w:eastAsia="zh-CN"/>
        </w:rPr>
      </w:pPr>
      <w:r>
        <w:rPr>
          <w:rFonts w:hint="eastAsia" w:ascii="宋体" w:hAnsi="宋体" w:eastAsia="宋体" w:cs="宋体"/>
          <w:b/>
          <w:bCs/>
          <w:color w:val="000000"/>
          <w:sz w:val="24"/>
          <w:szCs w:val="24"/>
          <w:highlight w:val="yellow"/>
          <w:lang w:val="en-US" w:eastAsia="zh-CN"/>
        </w:rPr>
        <w:t xml:space="preserve">3.如供应商所提供产品为本国产品的，应当对其提供的产品出具《关于符合本国产品标准的声明函》（以下简称《声明函》），不出具《声明函》的，不享受政府采购对本国产品的支持政策。</w:t>
      </w:r>
      <w:r/>
    </w:p>
    <w:p>
      <w:pPr>
        <w:pStyle w:val="856"/>
        <w:jc w:val="center"/>
        <w:spacing w:beforeAutospacing="0" w:afterAutospacing="0"/>
        <w:rPr>
          <w:highlight w:val="none"/>
        </w:rPr>
      </w:pPr>
      <w:r>
        <w:rPr>
          <w:highlight w:val="none"/>
        </w:rPr>
        <w:t xml:space="preserve"> </w:t>
      </w:r>
      <w:r/>
    </w:p>
    <w:p>
      <w:pPr>
        <w:pStyle w:val="866"/>
        <w:jc w:val="right"/>
        <w:rPr>
          <w:szCs w:val="21"/>
        </w:rPr>
      </w:pPr>
      <w:r>
        <w:rPr>
          <w:highlight w:val="none"/>
        </w:rPr>
        <w:t xml:space="preserve"> </w:t>
      </w:r>
      <w:r>
        <w:rPr>
          <w:rFonts w:hint="eastAsia"/>
        </w:rPr>
        <w:t xml:space="preserve">企业名称（加盖CA电子公章）</w:t>
      </w:r>
      <w:r>
        <w:rPr>
          <w:rFonts w:hint="eastAsia"/>
          <w:szCs w:val="21"/>
        </w:rPr>
        <w:t xml:space="preserve">： </w:t>
      </w:r>
      <w:r/>
    </w:p>
    <w:p>
      <w:pPr>
        <w:pStyle w:val="866"/>
        <w:ind w:firstLine="3542"/>
        <w:rPr>
          <w:szCs w:val="21"/>
        </w:rPr>
      </w:pPr>
      <w:r>
        <w:rPr>
          <w:szCs w:val="21"/>
        </w:rPr>
      </w:r>
      <w:r/>
    </w:p>
    <w:p>
      <w:pPr>
        <w:pStyle w:val="866"/>
        <w:ind w:firstLine="3542"/>
      </w:pPr>
      <w:r>
        <w:rPr>
          <w:rFonts w:hint="eastAsia"/>
        </w:rPr>
        <w:t xml:space="preserve">       </w:t>
      </w:r>
      <w:r>
        <w:rPr>
          <w:rFonts w:hint="eastAsia"/>
          <w:lang w:val="en-US" w:eastAsia="zh-CN"/>
        </w:rPr>
        <w:t xml:space="preserve">     </w:t>
      </w:r>
      <w:r>
        <w:rPr>
          <w:rFonts w:hint="eastAsia"/>
        </w:rPr>
        <w:t xml:space="preserve">  年    月    日</w:t>
      </w:r>
      <w:r/>
    </w:p>
    <w:p>
      <w:pPr>
        <w:pStyle w:val="856"/>
        <w:jc w:val="center"/>
        <w:spacing w:beforeAutospacing="0" w:afterAutospacing="0"/>
        <w:rPr>
          <w:highlight w:val="none"/>
        </w:rPr>
      </w:pPr>
      <w:r>
        <w:rPr>
          <w:highlight w:val="none"/>
        </w:rPr>
      </w:r>
      <w:r/>
    </w:p>
    <w:p>
      <w:pPr>
        <w:pStyle w:val="856"/>
        <w:jc w:val="center"/>
        <w:spacing w:beforeAutospacing="0" w:afterAutospacing="0"/>
        <w:rPr>
          <w:highlight w:val="none"/>
        </w:rPr>
      </w:pPr>
      <w:r>
        <w:rPr>
          <w:highlight w:val="none"/>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856"/>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w:t>
      </w:r>
      <w:r/>
    </w:p>
    <w:tbl>
      <w:tblPr>
        <w:tblStyle w:val="84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56"/>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highlight w:val="none"/>
              </w:rPr>
            </w:pPr>
            <w:r>
              <w:rPr>
                <w:highlight w:val="none"/>
              </w:rPr>
              <w:t xml:space="preserve"> </w:t>
            </w:r>
            <w:r/>
          </w:p>
        </w:tc>
      </w:tr>
    </w:tbl>
    <w:p>
      <w:pPr>
        <w:pStyle w:val="856"/>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56"/>
        <w:jc w:val="center"/>
        <w:spacing w:beforeAutospacing="0" w:afterAutospacing="0"/>
        <w:rPr>
          <w:highlight w:val="none"/>
        </w:rPr>
      </w:pPr>
      <w:r>
        <w:rPr>
          <w:highlight w:val="none"/>
        </w:rPr>
        <w:t xml:space="preserve"> </w:t>
      </w:r>
      <w:r/>
    </w:p>
    <w:p>
      <w:pPr>
        <w:pStyle w:val="856"/>
        <w:jc w:val="center"/>
        <w:spacing w:beforeAutospacing="0" w:afterAutospacing="0"/>
        <w:rPr>
          <w:highlight w:val="none"/>
        </w:rPr>
      </w:pPr>
      <w:r>
        <w:rPr>
          <w:highlight w:val="none"/>
        </w:rPr>
        <w:t xml:space="preserve"> </w:t>
      </w:r>
      <w:r/>
    </w:p>
    <w:p>
      <w:pPr>
        <w:pStyle w:val="856"/>
        <w:jc w:val="center"/>
        <w:spacing w:beforeAutospacing="0" w:afterAutospacing="0"/>
        <w:rPr>
          <w:rFonts w:hint="eastAsia"/>
          <w:highlight w:val="none"/>
        </w:rPr>
      </w:pPr>
      <w:r>
        <w:rPr>
          <w:rFonts w:hint="eastAsia"/>
          <w:highlight w:val="none"/>
        </w:rPr>
        <w:t xml:space="preserve"> 法定代表人或被授权人（签字或盖章）：</w:t>
      </w:r>
      <w:r/>
    </w:p>
    <w:p>
      <w:pPr>
        <w:pStyle w:val="856"/>
        <w:jc w:val="center"/>
        <w:spacing w:beforeAutospacing="0" w:afterAutospacing="0"/>
        <w:rPr>
          <w:rFonts w:hint="eastAsia"/>
          <w:highlight w:val="none"/>
        </w:rPr>
      </w:pPr>
      <w:r>
        <w:rPr>
          <w:rFonts w:hint="eastAsia"/>
          <w:highlight w:val="none"/>
        </w:rPr>
      </w:r>
      <w:r/>
    </w:p>
    <w:p>
      <w:pPr>
        <w:pStyle w:val="856"/>
        <w:jc w:val="center"/>
        <w:spacing w:beforeAutospacing="0" w:afterAutospacing="0"/>
        <w:rPr>
          <w:highlight w:val="none"/>
        </w:rPr>
      </w:pPr>
      <w:r>
        <w:rPr>
          <w:rFonts w:hint="eastAsia"/>
          <w:highlight w:val="none"/>
        </w:rPr>
        <w:t xml:space="preserve">企业名称（加盖CA电子公章）：</w:t>
      </w:r>
      <w:r>
        <w:rPr>
          <w:highlight w:val="none"/>
        </w:rPr>
        <w:t xml:space="preserve"> </w:t>
      </w:r>
      <w:r/>
    </w:p>
    <w:p>
      <w:pPr>
        <w:pStyle w:val="856"/>
        <w:jc w:val="center"/>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center"/>
        <w:spacing w:beforeAutospacing="0" w:afterAutospacing="0"/>
        <w:rPr>
          <w:highlight w:val="none"/>
        </w:rPr>
      </w:pPr>
      <w:r/>
      <w:bookmarkStart w:id="200" w:name="_Hlt26955054"/>
      <w:r>
        <w:rPr>
          <w:rFonts w:hint="eastAsia" w:ascii="黑体" w:hAnsi="宋体" w:eastAsia="黑体" w:cs="黑体"/>
          <w:b/>
          <w:color w:val="000000"/>
          <w:sz w:val="32"/>
          <w:szCs w:val="32"/>
          <w:highlight w:val="none"/>
          <w:lang w:val="en-US" w:eastAsia="zh-CN"/>
        </w:rPr>
        <w:t xml:space="preserve">十五</w:t>
      </w:r>
      <w:r>
        <w:rPr>
          <w:rFonts w:hint="eastAsia" w:ascii="黑体" w:hAnsi="宋体" w:eastAsia="黑体" w:cs="黑体"/>
          <w:b/>
          <w:color w:val="000000"/>
          <w:sz w:val="32"/>
          <w:szCs w:val="32"/>
          <w:highlight w:val="none"/>
        </w:rPr>
        <w:t xml:space="preserve">、商务要求响应及偏离表</w:t>
      </w:r>
      <w:r/>
    </w:p>
    <w:tbl>
      <w:tblPr>
        <w:tblStyle w:val="84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bookmarkStart w:id="201" w:name="_Hlt26671372"/>
            <w:r/>
            <w:bookmarkStart w:id="202" w:name="_Hlt26782999"/>
            <w:r/>
            <w:bookmarkStart w:id="203" w:name="_Hlt26955056"/>
            <w:r/>
            <w:bookmarkStart w:id="204" w:name="_Hlt26671343"/>
            <w:r/>
            <w:bookmarkStart w:id="205" w:name="_Hlt26609391"/>
            <w:r/>
            <w:bookmarkStart w:id="206" w:name="_Hlt24879081"/>
            <w:r/>
            <w:bookmarkStart w:id="207" w:name="_Hlt26955064"/>
            <w:r/>
            <w:bookmarkStart w:id="208" w:name="_Hlt26580838"/>
            <w:r>
              <w:rPr>
                <w:rFonts w:hint="eastAsia" w:ascii="宋体" w:hAnsi="宋体" w:eastAsia="宋体" w:cs="宋体"/>
                <w:color w:val="000000"/>
                <w:highlight w:val="none"/>
              </w:rPr>
              <w:t xml:space="preserve">序号</w:t>
            </w:r>
            <w:bookmarkEnd w:id="201"/>
            <w:r/>
            <w:bookmarkEnd w:id="202"/>
            <w:r/>
            <w:bookmarkEnd w:id="203"/>
            <w:r/>
            <w:bookmarkEnd w:id="204"/>
            <w:r/>
            <w:bookmarkEnd w:id="205"/>
            <w:r/>
            <w:bookmarkEnd w:id="206"/>
            <w:r/>
            <w:bookmarkEnd w:id="207"/>
            <w:r/>
            <w:bookmarkEnd w:id="20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56"/>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highlight w:val="none"/>
              </w:rPr>
            </w:pPr>
            <w:r>
              <w:rPr>
                <w:highlight w:val="none"/>
              </w:rPr>
              <w:t xml:space="preserve"> </w:t>
            </w:r>
            <w:r/>
          </w:p>
        </w:tc>
      </w:tr>
    </w:tbl>
    <w:p>
      <w:pPr>
        <w:pStyle w:val="856"/>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56"/>
        <w:jc w:val="both"/>
        <w:spacing w:beforeAutospacing="0" w:afterAutospacing="0" w:line="480" w:lineRule="auto"/>
        <w:rPr>
          <w:highlight w:val="none"/>
        </w:rPr>
      </w:pPr>
      <w:r>
        <w:rPr>
          <w:highlight w:val="none"/>
        </w:rPr>
        <w:t xml:space="preserve"> </w:t>
      </w:r>
      <w:r/>
    </w:p>
    <w:p>
      <w:pPr>
        <w:pStyle w:val="856"/>
        <w:jc w:val="both"/>
        <w:spacing w:beforeAutospacing="0" w:afterAutospacing="0" w:line="480" w:lineRule="auto"/>
        <w:rPr>
          <w:rFonts w:hint="eastAsia"/>
          <w:highlight w:val="none"/>
        </w:rPr>
      </w:pPr>
      <w:r>
        <w:rPr>
          <w:highlight w:val="none"/>
        </w:rPr>
        <w:t xml:space="preserve"> </w:t>
      </w:r>
      <w:r>
        <w:rPr>
          <w:rFonts w:hint="eastAsia"/>
          <w:highlight w:val="none"/>
        </w:rPr>
        <w:t xml:space="preserve"> 法定代表人或被授权人（签字或盖章）：</w:t>
      </w:r>
      <w:r/>
    </w:p>
    <w:p>
      <w:pPr>
        <w:pStyle w:val="856"/>
        <w:jc w:val="both"/>
        <w:spacing w:beforeAutospacing="0" w:afterAutospacing="0" w:line="480" w:lineRule="auto"/>
        <w:rPr>
          <w:rFonts w:hint="eastAsia"/>
          <w:highlight w:val="none"/>
        </w:rPr>
      </w:pPr>
      <w:r>
        <w:rPr>
          <w:rFonts w:hint="eastAsia"/>
          <w:highlight w:val="none"/>
        </w:rPr>
      </w:r>
      <w:r/>
    </w:p>
    <w:p>
      <w:pPr>
        <w:pStyle w:val="856"/>
        <w:ind w:firstLine="240"/>
        <w:jc w:val="both"/>
        <w:spacing w:beforeAutospacing="0" w:afterAutospacing="0" w:line="480" w:lineRule="auto"/>
        <w:rPr>
          <w:highlight w:val="none"/>
        </w:rPr>
      </w:pPr>
      <w:r>
        <w:rPr>
          <w:rFonts w:hint="eastAsia"/>
          <w:highlight w:val="none"/>
        </w:rPr>
        <w:t xml:space="preserve">企业名称（加盖CA电子公章）：</w:t>
      </w:r>
      <w:r/>
    </w:p>
    <w:p>
      <w:pPr>
        <w:pStyle w:val="856"/>
        <w:jc w:val="center"/>
        <w:spacing w:beforeAutospacing="0" w:afterAutospacing="0"/>
        <w:rPr>
          <w:highlight w:val="none"/>
        </w:rPr>
      </w:pPr>
      <w:r/>
      <w:bookmarkStart w:id="209" w:name="_Hlt26955066"/>
      <w:r/>
      <w:bookmarkStart w:id="210" w:name="_格式2__法定代表人授权书"/>
      <w:r/>
      <w:bookmarkStart w:id="211" w:name="_Hlt26609389"/>
      <w:r/>
      <w:bookmarkStart w:id="212" w:name="_Toc462564146"/>
      <w:r/>
      <w:bookmarkStart w:id="213" w:name="_Hlt26671374"/>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t xml:space="preserve"> </w:t>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highlight w:val="none"/>
        </w:rPr>
      </w:pPr>
      <w:r>
        <w:rPr>
          <w:highlight w:val="none"/>
        </w:rPr>
      </w:r>
      <w:r/>
    </w:p>
    <w:p>
      <w:pPr>
        <w:pStyle w:val="856"/>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856"/>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5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56"/>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84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6"/>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56"/>
        <w:jc w:val="both"/>
        <w:spacing w:beforeAutospacing="0" w:afterAutospacing="0"/>
        <w:rPr>
          <w:color w:val="auto"/>
          <w:highlight w:val="none"/>
        </w:rPr>
      </w:pPr>
      <w:r>
        <w:rPr>
          <w:color w:val="auto"/>
          <w:highlight w:val="none"/>
        </w:rPr>
        <w:t xml:space="preserve"> </w:t>
      </w:r>
      <w:r/>
    </w:p>
    <w:p>
      <w:pPr>
        <w:pStyle w:val="856"/>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56"/>
        <w:ind w:firstLine="480"/>
        <w:jc w:val="both"/>
        <w:spacing w:beforeAutospacing="0" w:afterAutospacing="0"/>
        <w:rPr>
          <w:highlight w:val="none"/>
        </w:rPr>
      </w:pPr>
      <w:r>
        <w:rPr>
          <w:highlight w:val="none"/>
        </w:rPr>
        <w:t xml:space="preserve"> </w:t>
      </w:r>
      <w:r/>
    </w:p>
    <w:p>
      <w:pPr>
        <w:pStyle w:val="856"/>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填写说明：</w:t>
      </w:r>
      <w:r/>
    </w:p>
    <w:p>
      <w:pPr>
        <w:pStyle w:val="856"/>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开标一览表按软件系统给定格式填写签章，不得填报选择性报价，否则将作为无效投标。</w:t>
      </w:r>
      <w:r/>
    </w:p>
    <w:p>
      <w:pPr>
        <w:pStyle w:val="856"/>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投标报价保留两位小数。</w:t>
      </w:r>
      <w:r/>
    </w:p>
    <w:p>
      <w:pPr>
        <w:pStyle w:val="8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848"/>
        <w:rPr>
          <w:highlight w:val="none"/>
        </w:rPr>
      </w:pPr>
      <w:r>
        <w:rPr>
          <w:highlight w:val="none"/>
        </w:rPr>
      </w:r>
      <w:r/>
    </w:p>
    <w:p>
      <w:pPr>
        <w:pStyle w:val="848"/>
        <w:rPr>
          <w:highlight w:val="none"/>
        </w:rPr>
      </w:pPr>
      <w:r>
        <w:rPr>
          <w:highlight w:val="none"/>
        </w:rPr>
      </w:r>
      <w:r/>
    </w:p>
    <w:p>
      <w:pPr>
        <w:pStyle w:val="848"/>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、技术方案、服务承诺、培训承诺等</w:t>
      </w:r>
      <w:r/>
    </w:p>
    <w:p>
      <w:pPr>
        <w:pStyle w:val="856"/>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p>
    <w:p>
      <w:pPr>
        <w:pStyle w:val="856"/>
        <w:jc w:val="center"/>
        <w:spacing w:beforeAutospacing="0" w:afterAutospacing="0"/>
        <w:rPr>
          <w:rFonts w:hint="eastAsia"/>
          <w:highlight w:val="none"/>
        </w:rPr>
      </w:pPr>
      <w:r>
        <w:rPr>
          <w:rFonts w:hint="eastAsia"/>
          <w:highlight w:val="none"/>
        </w:rPr>
        <w:t xml:space="preserve">企业名称（加盖CA电子公章）：</w:t>
      </w:r>
      <w:r/>
    </w:p>
    <w:p>
      <w:pPr>
        <w:pStyle w:val="856"/>
        <w:jc w:val="center"/>
        <w:spacing w:beforeAutospacing="0" w:afterAutospacing="0"/>
        <w:rPr>
          <w:rFonts w:hint="eastAsia"/>
          <w:highlight w:val="none"/>
        </w:rPr>
      </w:pPr>
      <w:r>
        <w:rPr>
          <w:rFonts w:hint="eastAsia"/>
          <w:highlight w:val="none"/>
        </w:rPr>
        <w:t xml:space="preserve">                         </w:t>
      </w:r>
      <w:r/>
    </w:p>
    <w:p>
      <w:pPr>
        <w:pStyle w:val="856"/>
        <w:jc w:val="center"/>
        <w:spacing w:beforeAutospacing="0" w:afterAutospacing="0"/>
        <w:rPr>
          <w:highlight w:val="none"/>
        </w:rPr>
      </w:pPr>
      <w:r>
        <w:rPr>
          <w:rFonts w:hint="eastAsia"/>
          <w:highlight w:val="none"/>
        </w:rPr>
        <w:t xml:space="preserve">年   月    日</w:t>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3"/>
      <w:r/>
      <w:bookmarkEnd w:id="193"/>
      <w:r/>
      <w:bookmarkEnd w:id="194"/>
      <w:r/>
      <w:bookmarkEnd w:id="196"/>
      <w:r/>
      <w:bookmarkEnd w:id="197"/>
      <w:r/>
      <w:bookmarkEnd w:id="198"/>
      <w:r/>
      <w:bookmarkEnd w:id="200"/>
      <w:r/>
      <w:bookmarkEnd w:id="209"/>
      <w:r/>
      <w:bookmarkEnd w:id="210"/>
      <w:r/>
      <w:bookmarkEnd w:id="211"/>
      <w:r/>
      <w:bookmarkEnd w:id="212"/>
      <w:r/>
      <w:bookmarkEnd w:id="213"/>
      <w:r/>
      <w:r/>
    </w:p>
    <w:p>
      <w:pPr>
        <w:rPr>
          <w:highlight w:val="none"/>
        </w:rPr>
      </w:pPr>
      <w:r>
        <w:rPr>
          <w:highlight w:val="none"/>
        </w:rPr>
      </w:r>
      <w:r/>
    </w:p>
    <w:p>
      <w:pPr>
        <w:pStyle w:val="85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6"/>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56"/>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56"/>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56"/>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56"/>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6"/>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846"/>
    <w:link w:val="843"/>
    <w:uiPriority w:val="9"/>
    <w:rPr>
      <w:rFonts w:ascii="Arial" w:hAnsi="Arial" w:eastAsia="Arial" w:cs="Arial"/>
      <w:sz w:val="40"/>
      <w:szCs w:val="40"/>
    </w:rPr>
  </w:style>
  <w:style w:type="character" w:styleId="672">
    <w:name w:val="Heading 2 Char"/>
    <w:basedOn w:val="846"/>
    <w:link w:val="844"/>
    <w:uiPriority w:val="9"/>
    <w:rPr>
      <w:rFonts w:ascii="Arial" w:hAnsi="Arial" w:eastAsia="Arial" w:cs="Arial"/>
      <w:sz w:val="34"/>
    </w:rPr>
  </w:style>
  <w:style w:type="character" w:styleId="673">
    <w:name w:val="Heading 3 Char"/>
    <w:basedOn w:val="846"/>
    <w:link w:val="845"/>
    <w:uiPriority w:val="9"/>
    <w:rPr>
      <w:rFonts w:ascii="Arial" w:hAnsi="Arial" w:eastAsia="Arial" w:cs="Arial"/>
      <w:sz w:val="30"/>
      <w:szCs w:val="30"/>
    </w:rPr>
  </w:style>
  <w:style w:type="paragraph" w:styleId="674">
    <w:name w:val="Heading 4"/>
    <w:basedOn w:val="842"/>
    <w:next w:val="842"/>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basedOn w:val="846"/>
    <w:link w:val="674"/>
    <w:uiPriority w:val="9"/>
    <w:rPr>
      <w:rFonts w:ascii="Arial" w:hAnsi="Arial" w:eastAsia="Arial" w:cs="Arial"/>
      <w:b/>
      <w:bCs/>
      <w:sz w:val="26"/>
      <w:szCs w:val="26"/>
    </w:rPr>
  </w:style>
  <w:style w:type="paragraph" w:styleId="676">
    <w:name w:val="Heading 5"/>
    <w:basedOn w:val="842"/>
    <w:next w:val="842"/>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basedOn w:val="846"/>
    <w:link w:val="676"/>
    <w:uiPriority w:val="9"/>
    <w:rPr>
      <w:rFonts w:ascii="Arial" w:hAnsi="Arial" w:eastAsia="Arial" w:cs="Arial"/>
      <w:b/>
      <w:bCs/>
      <w:sz w:val="24"/>
      <w:szCs w:val="24"/>
    </w:rPr>
  </w:style>
  <w:style w:type="paragraph" w:styleId="678">
    <w:name w:val="Heading 6"/>
    <w:basedOn w:val="842"/>
    <w:next w:val="842"/>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basedOn w:val="846"/>
    <w:link w:val="678"/>
    <w:uiPriority w:val="9"/>
    <w:rPr>
      <w:rFonts w:ascii="Arial" w:hAnsi="Arial" w:eastAsia="Arial" w:cs="Arial"/>
      <w:b/>
      <w:bCs/>
      <w:sz w:val="22"/>
      <w:szCs w:val="22"/>
    </w:rPr>
  </w:style>
  <w:style w:type="paragraph" w:styleId="680">
    <w:name w:val="Heading 7"/>
    <w:basedOn w:val="842"/>
    <w:next w:val="842"/>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basedOn w:val="846"/>
    <w:link w:val="680"/>
    <w:uiPriority w:val="9"/>
    <w:rPr>
      <w:rFonts w:ascii="Arial" w:hAnsi="Arial" w:eastAsia="Arial" w:cs="Arial"/>
      <w:b/>
      <w:bCs/>
      <w:i/>
      <w:iCs/>
      <w:sz w:val="22"/>
      <w:szCs w:val="22"/>
    </w:rPr>
  </w:style>
  <w:style w:type="paragraph" w:styleId="682">
    <w:name w:val="Heading 8"/>
    <w:basedOn w:val="842"/>
    <w:next w:val="842"/>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basedOn w:val="846"/>
    <w:link w:val="682"/>
    <w:uiPriority w:val="9"/>
    <w:rPr>
      <w:rFonts w:ascii="Arial" w:hAnsi="Arial" w:eastAsia="Arial" w:cs="Arial"/>
      <w:i/>
      <w:iCs/>
      <w:sz w:val="22"/>
      <w:szCs w:val="22"/>
    </w:rPr>
  </w:style>
  <w:style w:type="paragraph" w:styleId="684">
    <w:name w:val="Heading 9"/>
    <w:basedOn w:val="842"/>
    <w:next w:val="842"/>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basedOn w:val="846"/>
    <w:link w:val="684"/>
    <w:uiPriority w:val="9"/>
    <w:rPr>
      <w:rFonts w:ascii="Arial" w:hAnsi="Arial" w:eastAsia="Arial" w:cs="Arial"/>
      <w:i/>
      <w:iCs/>
      <w:sz w:val="21"/>
      <w:szCs w:val="21"/>
    </w:rPr>
  </w:style>
  <w:style w:type="paragraph" w:styleId="686">
    <w:name w:val="List Paragraph"/>
    <w:basedOn w:val="842"/>
    <w:uiPriority w:val="34"/>
    <w:qFormat/>
    <w:pPr>
      <w:contextualSpacing/>
      <w:ind w:left="720"/>
    </w:pPr>
  </w:style>
  <w:style w:type="paragraph" w:styleId="687">
    <w:name w:val="No Spacing"/>
    <w:uiPriority w:val="1"/>
    <w:qFormat/>
    <w:pPr>
      <w:spacing w:before="0" w:after="0" w:line="240" w:lineRule="auto"/>
    </w:pPr>
  </w:style>
  <w:style w:type="paragraph" w:styleId="688">
    <w:name w:val="Title"/>
    <w:basedOn w:val="842"/>
    <w:next w:val="842"/>
    <w:link w:val="689"/>
    <w:uiPriority w:val="10"/>
    <w:qFormat/>
    <w:pPr>
      <w:contextualSpacing/>
      <w:spacing w:before="300" w:after="200"/>
    </w:pPr>
    <w:rPr>
      <w:sz w:val="48"/>
      <w:szCs w:val="48"/>
    </w:rPr>
  </w:style>
  <w:style w:type="character" w:styleId="689">
    <w:name w:val="Title Char"/>
    <w:basedOn w:val="846"/>
    <w:link w:val="688"/>
    <w:uiPriority w:val="10"/>
    <w:rPr>
      <w:sz w:val="48"/>
      <w:szCs w:val="48"/>
    </w:rPr>
  </w:style>
  <w:style w:type="character" w:styleId="690">
    <w:name w:val="Subtitle Char"/>
    <w:basedOn w:val="846"/>
    <w:link w:val="854"/>
    <w:uiPriority w:val="11"/>
    <w:rPr>
      <w:sz w:val="24"/>
      <w:szCs w:val="24"/>
    </w:rPr>
  </w:style>
  <w:style w:type="paragraph" w:styleId="691">
    <w:name w:val="Quote"/>
    <w:basedOn w:val="842"/>
    <w:next w:val="842"/>
    <w:link w:val="692"/>
    <w:uiPriority w:val="29"/>
    <w:qFormat/>
    <w:pPr>
      <w:ind w:left="720" w:right="720"/>
    </w:pPr>
    <w:rPr>
      <w:i/>
    </w:rPr>
  </w:style>
  <w:style w:type="character" w:styleId="692">
    <w:name w:val="Quote Char"/>
    <w:link w:val="691"/>
    <w:uiPriority w:val="29"/>
    <w:rPr>
      <w:i/>
    </w:rPr>
  </w:style>
  <w:style w:type="paragraph" w:styleId="693">
    <w:name w:val="Intense Quote"/>
    <w:basedOn w:val="842"/>
    <w:next w:val="842"/>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character" w:styleId="695">
    <w:name w:val="Header Char"/>
    <w:basedOn w:val="846"/>
    <w:link w:val="853"/>
    <w:uiPriority w:val="99"/>
  </w:style>
  <w:style w:type="character" w:styleId="696">
    <w:name w:val="Footer Char"/>
    <w:basedOn w:val="846"/>
    <w:link w:val="852"/>
    <w:uiPriority w:val="99"/>
  </w:style>
  <w:style w:type="paragraph" w:styleId="697">
    <w:name w:val="Caption"/>
    <w:basedOn w:val="842"/>
    <w:next w:val="842"/>
    <w:uiPriority w:val="35"/>
    <w:semiHidden/>
    <w:unhideWhenUsed/>
    <w:qFormat/>
    <w:pPr>
      <w:spacing w:line="276" w:lineRule="auto"/>
    </w:pPr>
    <w:rPr>
      <w:b/>
      <w:bCs/>
      <w:color w:val="4f81bd" w:themeColor="accent1"/>
      <w:sz w:val="18"/>
      <w:szCs w:val="18"/>
    </w:rPr>
  </w:style>
  <w:style w:type="character" w:styleId="698">
    <w:name w:val="Caption Char"/>
    <w:basedOn w:val="697"/>
    <w:link w:val="852"/>
    <w:uiPriority w:val="99"/>
  </w:style>
  <w:style w:type="table" w:styleId="699">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5">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6">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7">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8">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9">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0">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6">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7">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0">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1">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2">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3">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4">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5">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7">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8">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9">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0">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1">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2">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1">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2">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3">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4">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5">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6">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8">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9">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0">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1">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2">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3">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5">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9">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2">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6">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basedOn w:val="842"/>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basedOn w:val="846"/>
    <w:uiPriority w:val="99"/>
    <w:unhideWhenUsed/>
    <w:rPr>
      <w:vertAlign w:val="superscript"/>
    </w:rPr>
  </w:style>
  <w:style w:type="paragraph" w:styleId="828">
    <w:name w:val="endnote text"/>
    <w:basedOn w:val="842"/>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basedOn w:val="846"/>
    <w:uiPriority w:val="99"/>
    <w:semiHidden/>
    <w:unhideWhenUsed/>
    <w:rPr>
      <w:vertAlign w:val="superscript"/>
    </w:rPr>
  </w:style>
  <w:style w:type="paragraph" w:styleId="831">
    <w:name w:val="toc 1"/>
    <w:basedOn w:val="842"/>
    <w:next w:val="842"/>
    <w:uiPriority w:val="39"/>
    <w:unhideWhenUsed/>
    <w:pPr>
      <w:ind w:left="0" w:right="0" w:firstLine="0"/>
      <w:spacing w:after="57"/>
    </w:p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4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3">
    <w:name w:val="Heading 1"/>
    <w:basedOn w:val="842"/>
    <w:next w:val="842"/>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844">
    <w:name w:val="Heading 2"/>
    <w:basedOn w:val="842"/>
    <w:next w:val="84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45">
    <w:name w:val="Heading 3"/>
    <w:basedOn w:val="842"/>
    <w:next w:val="842"/>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customStyle="1">
    <w:name w:val="Default"/>
    <w:basedOn w:val="842"/>
    <w:uiPriority w:val="0"/>
    <w:semiHidden/>
    <w:qFormat/>
    <w:pPr>
      <w:jc w:val="left"/>
    </w:pPr>
    <w:rPr>
      <w:rFonts w:ascii="宋体" w:hAnsi="Calibri" w:cs="宋体"/>
      <w:color w:val="000000"/>
      <w:sz w:val="24"/>
    </w:rPr>
  </w:style>
  <w:style w:type="paragraph" w:styleId="849">
    <w:name w:val="Normal Indent"/>
    <w:basedOn w:val="842"/>
    <w:uiPriority w:val="0"/>
    <w:qFormat/>
    <w:pPr>
      <w:ind w:firstLine="420"/>
    </w:pPr>
  </w:style>
  <w:style w:type="paragraph" w:styleId="850">
    <w:name w:val="annotation text"/>
    <w:basedOn w:val="842"/>
    <w:uiPriority w:val="0"/>
    <w:qFormat/>
    <w:pPr>
      <w:jc w:val="left"/>
    </w:pPr>
  </w:style>
  <w:style w:type="paragraph" w:styleId="851">
    <w:name w:val="Body Text"/>
    <w:basedOn w:val="842"/>
    <w:uiPriority w:val="0"/>
    <w:semiHidden/>
    <w:qFormat/>
    <w:rPr>
      <w:rFonts w:ascii="仿宋" w:hAnsi="仿宋" w:eastAsia="仿宋" w:cs="仿宋"/>
      <w:sz w:val="31"/>
      <w:szCs w:val="31"/>
      <w:lang w:val="en-US" w:eastAsia="en-US" w:bidi="ar-SA"/>
    </w:rPr>
  </w:style>
  <w:style w:type="paragraph" w:styleId="852">
    <w:name w:val="Footer"/>
    <w:basedOn w:val="842"/>
    <w:link w:val="861"/>
    <w:uiPriority w:val="0"/>
    <w:qFormat/>
    <w:pPr>
      <w:jc w:val="left"/>
      <w:tabs>
        <w:tab w:val="center" w:pos="4153" w:leader="none"/>
        <w:tab w:val="right" w:pos="8306" w:leader="none"/>
      </w:tabs>
    </w:pPr>
    <w:rPr>
      <w:sz w:val="18"/>
      <w:szCs w:val="18"/>
    </w:rPr>
  </w:style>
  <w:style w:type="paragraph" w:styleId="853">
    <w:name w:val="Header"/>
    <w:basedOn w:val="842"/>
    <w:link w:val="860"/>
    <w:uiPriority w:val="0"/>
    <w:qFormat/>
    <w:pPr>
      <w:jc w:val="center"/>
      <w:tabs>
        <w:tab w:val="center" w:pos="4153" w:leader="none"/>
        <w:tab w:val="right" w:pos="8306" w:leader="none"/>
      </w:tabs>
      <w:pBdr>
        <w:bottom w:val="single" w:color="auto" w:sz="6" w:space="1"/>
      </w:pBdr>
    </w:pPr>
    <w:rPr>
      <w:sz w:val="18"/>
      <w:szCs w:val="18"/>
    </w:rPr>
  </w:style>
  <w:style w:type="paragraph" w:styleId="854">
    <w:name w:val="Subtitle"/>
    <w:basedOn w:val="842"/>
    <w:next w:val="842"/>
    <w:uiPriority w:val="11"/>
    <w:qFormat/>
    <w:pPr>
      <w:spacing w:before="240" w:after="60" w:line="312" w:lineRule="auto"/>
      <w:outlineLvl w:val="1"/>
    </w:pPr>
    <w:rPr>
      <w:b/>
      <w:bCs/>
      <w:sz w:val="32"/>
      <w:szCs w:val="32"/>
    </w:rPr>
  </w:style>
  <w:style w:type="paragraph" w:styleId="855">
    <w:name w:val="index 9"/>
    <w:basedOn w:val="842"/>
    <w:next w:val="842"/>
    <w:uiPriority w:val="0"/>
    <w:qFormat/>
    <w:pPr>
      <w:ind w:left="1600" w:firstLine="0"/>
      <w:jc w:val="both"/>
      <w:spacing w:line="240" w:lineRule="auto"/>
    </w:pPr>
    <w:rPr>
      <w:rFonts w:ascii="Times New Roman" w:hAnsi="Times New Roman" w:eastAsia="宋体" w:cs="Times New Roman"/>
      <w:sz w:val="21"/>
    </w:rPr>
  </w:style>
  <w:style w:type="paragraph" w:styleId="856">
    <w:name w:val="Normal (Web)"/>
    <w:basedOn w:val="842"/>
    <w:uiPriority w:val="0"/>
    <w:qFormat/>
    <w:pPr>
      <w:jc w:val="left"/>
      <w:spacing w:beforeAutospacing="1" w:afterAutospacing="1"/>
    </w:pPr>
    <w:rPr>
      <w:rFonts w:cs="Times New Roman"/>
      <w:sz w:val="24"/>
    </w:rPr>
  </w:style>
  <w:style w:type="table" w:styleId="857">
    <w:name w:val="Table Grid"/>
    <w:basedOn w:val="8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8">
    <w:name w:val="Strong"/>
    <w:basedOn w:val="846"/>
    <w:uiPriority w:val="0"/>
    <w:qFormat/>
    <w:rPr>
      <w:b/>
    </w:rPr>
  </w:style>
  <w:style w:type="character" w:styleId="859">
    <w:name w:val="Emphasis"/>
    <w:uiPriority w:val="0"/>
    <w:qFormat/>
    <w:rPr>
      <w:i/>
    </w:rPr>
  </w:style>
  <w:style w:type="character" w:styleId="860" w:customStyle="1">
    <w:name w:val="页眉 Char"/>
    <w:basedOn w:val="846"/>
    <w:link w:val="853"/>
    <w:uiPriority w:val="0"/>
    <w:qFormat/>
    <w:rPr>
      <w:rFonts w:asciiTheme="minorHAnsi" w:hAnsiTheme="minorHAnsi" w:eastAsiaTheme="minorEastAsia" w:cstheme="minorBidi"/>
      <w:sz w:val="18"/>
      <w:szCs w:val="18"/>
    </w:rPr>
  </w:style>
  <w:style w:type="character" w:styleId="861" w:customStyle="1">
    <w:name w:val="页脚 Char"/>
    <w:basedOn w:val="846"/>
    <w:link w:val="852"/>
    <w:uiPriority w:val="0"/>
    <w:qFormat/>
    <w:rPr>
      <w:rFonts w:asciiTheme="minorHAnsi" w:hAnsiTheme="minorHAnsi" w:eastAsiaTheme="minorEastAsia" w:cstheme="minorBidi"/>
      <w:sz w:val="18"/>
      <w:szCs w:val="18"/>
    </w:rPr>
  </w:style>
  <w:style w:type="paragraph" w:styleId="862" w:customStyle="1">
    <w:name w:val="普通正文"/>
    <w:basedOn w:val="842"/>
    <w:uiPriority w:val="0"/>
    <w:qFormat/>
    <w:pPr>
      <w:ind w:firstLine="480"/>
      <w:jc w:val="left"/>
      <w:spacing w:before="120" w:after="120" w:line="360" w:lineRule="auto"/>
    </w:pPr>
    <w:rPr>
      <w:rFonts w:ascii="Arial" w:hAnsi="Arial" w:eastAsia="等线" w:cs="Arial"/>
      <w:sz w:val="24"/>
      <w:szCs w:val="24"/>
    </w:rPr>
  </w:style>
  <w:style w:type="paragraph" w:styleId="863" w:customStyle="1">
    <w:name w:val="正文首行缩进 21"/>
    <w:basedOn w:val="864"/>
    <w:uiPriority w:val="0"/>
    <w:qFormat/>
    <w:pPr>
      <w:ind w:firstLine="420"/>
    </w:pPr>
  </w:style>
  <w:style w:type="paragraph" w:styleId="864" w:customStyle="1">
    <w:name w:val="正文文本缩进1"/>
    <w:basedOn w:val="842"/>
    <w:uiPriority w:val="0"/>
    <w:qFormat/>
    <w:pPr>
      <w:ind w:left="420"/>
      <w:spacing w:after="120"/>
    </w:pPr>
  </w:style>
  <w:style w:type="paragraph" w:styleId="865" w:customStyle="1">
    <w:name w:val="普通(网站)1"/>
    <w:basedOn w:val="842"/>
    <w:uiPriority w:val="0"/>
    <w:qFormat/>
    <w:pPr>
      <w:jc w:val="left"/>
      <w:spacing w:beforeAutospacing="1" w:afterAutospacing="1"/>
    </w:pPr>
    <w:rPr>
      <w:rFonts w:cs="Times New Roman"/>
      <w:sz w:val="24"/>
    </w:rPr>
  </w:style>
  <w:style w:type="paragraph" w:styleId="866" w:customStyle="1">
    <w:name w:val="222"/>
    <w:basedOn w:val="842"/>
    <w:uiPriority w:val="0"/>
    <w:qFormat/>
    <w:pPr>
      <w:ind w:firstLine="480"/>
    </w:pPr>
    <w:rPr>
      <w:rFonts w:ascii="宋体" w:hAnsi="宋体" w:eastAsia="宋体" w:cs="宋体"/>
      <w:sz w:val="24"/>
    </w:rPr>
  </w:style>
  <w:style w:type="paragraph" w:styleId="867" w:customStyle="1">
    <w:name w:val="正文-大居中"/>
    <w:basedOn w:val="842"/>
    <w:uiPriority w:val="0"/>
    <w:qFormat/>
    <w:pPr>
      <w:ind w:firstLine="0"/>
      <w:jc w:val="center"/>
    </w:pPr>
    <w:rPr>
      <w:rFonts w:eastAsia="宋体" w:cs="仿宋" w:asciiTheme="minorEastAsia" w:hAnsiTheme="minorEastAsia"/>
      <w:b/>
    </w:rPr>
  </w:style>
  <w:style w:type="numbering" w:styleId="8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孙鹏程</cp:lastModifiedBy>
  <cp:revision>274</cp:revision>
  <dcterms:created xsi:type="dcterms:W3CDTF">2014-10-29T12:08:00Z</dcterms:created>
  <dcterms:modified xsi:type="dcterms:W3CDTF">2026-05-15T08:09:47Z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65759699444F44BBBFCCC89CEABA8F49_13</vt:lpwstr>
  </property>
  <property fmtid="{D5CDD505-2E9C-101B-9397-08002B2CF9AE}" pid="4" name="KSOTemplateDocerSaveRecord">
    <vt:lpwstr>eyJoZGlkIjoiMmQ5MGZjNWRmZWI3MDc4MzEzODlkZDk5ZWNlYWU1YTkiLCJ1c2VySWQiOiI2MTYxNzc4OTgifQ==</vt:lpwstr>
  </property>
</Properties>
</file>